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80"/>
          <w:szCs w:val="80"/>
        </w:rPr>
      </w:pPr>
      <w:r>
        <w:rPr>
          <w:rFonts w:hint="eastAsia" w:ascii="黑体" w:hAnsi="黑体" w:eastAsia="黑体" w:cs="黑体"/>
          <w:b/>
          <w:color w:val="000000"/>
          <w:sz w:val="80"/>
          <w:szCs w:val="80"/>
        </w:rPr>
        <w:t>混凝土水泥采购</w:t>
      </w:r>
    </w:p>
    <w:p>
      <w:pPr>
        <w:jc w:val="center"/>
        <w:rPr>
          <w:rFonts w:ascii="黑体" w:hAnsi="黑体" w:eastAsia="黑体" w:cs="黑体"/>
          <w:b/>
          <w:color w:val="000000"/>
          <w:sz w:val="80"/>
          <w:szCs w:val="80"/>
        </w:rPr>
      </w:pPr>
    </w:p>
    <w:p>
      <w:pPr>
        <w:jc w:val="center"/>
        <w:rPr>
          <w:rFonts w:ascii="黑体" w:hAnsi="黑体" w:eastAsia="黑体" w:cs="黑体"/>
          <w:b/>
          <w:color w:val="000000"/>
          <w:sz w:val="80"/>
          <w:szCs w:val="80"/>
        </w:rPr>
      </w:pPr>
      <w:bookmarkStart w:id="22" w:name="_GoBack"/>
      <w:bookmarkEnd w:id="22"/>
    </w:p>
    <w:p>
      <w:pPr>
        <w:jc w:val="center"/>
        <w:rPr>
          <w:rFonts w:ascii="黑体" w:hAnsi="黑体" w:eastAsia="黑体" w:cs="黑体"/>
          <w:b/>
          <w:color w:val="000000"/>
          <w:sz w:val="80"/>
          <w:szCs w:val="80"/>
        </w:rPr>
      </w:pPr>
      <w:r>
        <w:rPr>
          <w:rFonts w:hint="eastAsia" w:ascii="黑体" w:hAnsi="黑体" w:eastAsia="黑体" w:cs="黑体"/>
          <w:b/>
          <w:color w:val="000000"/>
          <w:sz w:val="80"/>
          <w:szCs w:val="80"/>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2"/>
      </w:pPr>
    </w:p>
    <w:p>
      <w:pPr>
        <w:rPr>
          <w:b/>
          <w:color w:val="000000"/>
          <w:sz w:val="40"/>
          <w:szCs w:val="40"/>
        </w:rPr>
      </w:pPr>
    </w:p>
    <w:p>
      <w:pPr>
        <w:jc w:val="center"/>
        <w:rPr>
          <w:rFonts w:ascii="黑体" w:hAnsi="黑体" w:eastAsia="黑体" w:cs="黑体"/>
          <w:b/>
          <w:sz w:val="28"/>
        </w:rPr>
      </w:pPr>
      <w:r>
        <w:rPr>
          <w:rFonts w:hint="eastAsia" w:ascii="黑体" w:hAnsi="黑体" w:eastAsia="黑体" w:cs="黑体"/>
          <w:b/>
          <w:color w:val="000000"/>
          <w:sz w:val="28"/>
        </w:rPr>
        <w:t>采购人：</w:t>
      </w:r>
      <w:r>
        <w:rPr>
          <w:rFonts w:hint="eastAsia" w:ascii="黑体" w:hAnsi="黑体" w:eastAsia="黑体" w:cs="黑体"/>
          <w:b/>
          <w:sz w:val="28"/>
        </w:rPr>
        <w:t>合江县国瑞商贸有限公司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rPr>
        <w:t>2023</w:t>
      </w:r>
      <w:r>
        <w:rPr>
          <w:rFonts w:hint="eastAsia" w:ascii="黑体" w:hAnsi="黑体" w:eastAsia="黑体" w:cs="黑体"/>
          <w:b/>
          <w:bCs/>
          <w:color w:val="000000"/>
          <w:sz w:val="28"/>
          <w:lang w:val="zh-CN"/>
        </w:rPr>
        <w:t>年</w:t>
      </w:r>
      <w:r>
        <w:rPr>
          <w:rFonts w:ascii="黑体" w:hAnsi="黑体" w:eastAsia="黑体" w:cs="黑体"/>
          <w:b/>
          <w:color w:val="000000"/>
          <w:sz w:val="28"/>
        </w:rPr>
        <w:t>6</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rPr>
        <w:id w:val="147454066"/>
        <w15:color w:val="DBDBDB"/>
        <w:docPartObj>
          <w:docPartGallery w:val="Table of Contents"/>
          <w:docPartUnique/>
        </w:docPartObj>
      </w:sdtPr>
      <w:sdtEndPr>
        <w:rPr>
          <w:rFonts w:asciiTheme="minorHAnsi" w:hAnsiTheme="minorHAnsi" w:eastAsiaTheme="minorEastAsia"/>
          <w:color w:val="000000"/>
        </w:rPr>
      </w:sdtEndPr>
      <w:sdtContent>
        <w:p>
          <w:pPr>
            <w:jc w:val="center"/>
          </w:pPr>
          <w:r>
            <w:rPr>
              <w:rFonts w:ascii="宋体" w:hAnsi="宋体" w:eastAsia="宋体"/>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fldChar w:fldCharType="begin"/>
          </w:r>
          <w:r>
            <w:instrText xml:space="preserve"> HYPERLINK \l "_Toc23355" </w:instrText>
          </w:r>
          <w:r>
            <w:fldChar w:fldCharType="separate"/>
          </w:r>
          <w:r>
            <w:rPr>
              <w:rFonts w:hint="eastAsia" w:cs="黑体" w:asciiTheme="minorEastAsia" w:hAnsiTheme="minorEastAsia"/>
              <w:kern w:val="44"/>
              <w:szCs w:val="32"/>
            </w:rPr>
            <w:t>第一章 询价公告</w:t>
          </w:r>
          <w:r>
            <w:tab/>
          </w:r>
          <w:r>
            <w:fldChar w:fldCharType="begin"/>
          </w:r>
          <w:r>
            <w:instrText xml:space="preserve"> PAGEREF _Toc23355 \h </w:instrText>
          </w:r>
          <w:r>
            <w:fldChar w:fldCharType="separate"/>
          </w:r>
          <w:r>
            <w:t>2</w:t>
          </w:r>
          <w:r>
            <w:fldChar w:fldCharType="end"/>
          </w:r>
          <w:r>
            <w:fldChar w:fldCharType="end"/>
          </w:r>
        </w:p>
        <w:p>
          <w:pPr>
            <w:pStyle w:val="14"/>
            <w:tabs>
              <w:tab w:val="right" w:leader="dot" w:pos="8306"/>
              <w:tab w:val="clear" w:pos="9345"/>
            </w:tabs>
            <w:rPr>
              <w:color w:val="000000"/>
            </w:rPr>
          </w:pPr>
          <w:r>
            <w:fldChar w:fldCharType="begin"/>
          </w:r>
          <w:r>
            <w:instrText xml:space="preserve"> HYPERLINK \l "_Toc12414" </w:instrText>
          </w:r>
          <w:r>
            <w:fldChar w:fldCharType="separate"/>
          </w:r>
          <w:r>
            <w:rPr>
              <w:rFonts w:hint="eastAsia" w:cs="宋体"/>
              <w:szCs w:val="32"/>
            </w:rPr>
            <w:t>第二章 询价须知</w:t>
          </w:r>
          <w:r>
            <w:tab/>
          </w:r>
          <w:r>
            <w:fldChar w:fldCharType="begin"/>
          </w:r>
          <w:r>
            <w:instrText xml:space="preserve"> PAGEREF _Toc12414 \h </w:instrText>
          </w:r>
          <w:r>
            <w:fldChar w:fldCharType="separate"/>
          </w:r>
          <w:r>
            <w:t>4</w:t>
          </w:r>
          <w:r>
            <w:fldChar w:fldCharType="end"/>
          </w:r>
          <w:r>
            <w:fldChar w:fldCharType="end"/>
          </w:r>
        </w:p>
        <w:p/>
        <w:p>
          <w:pPr>
            <w:rPr>
              <w:rFonts w:cs="宋体"/>
              <w:b/>
              <w:bCs/>
              <w:caps/>
              <w:sz w:val="20"/>
              <w:szCs w:val="32"/>
            </w:rPr>
          </w:pPr>
          <w:r>
            <w:rPr>
              <w:rFonts w:hint="eastAsia" w:cs="宋体"/>
              <w:b/>
              <w:bCs/>
              <w:caps/>
              <w:sz w:val="20"/>
              <w:szCs w:val="32"/>
            </w:rPr>
            <w:t>第三章 评审办法</w:t>
          </w:r>
        </w:p>
        <w:p>
          <w:pPr>
            <w:pStyle w:val="14"/>
            <w:tabs>
              <w:tab w:val="right" w:leader="dot" w:pos="8306"/>
              <w:tab w:val="clear" w:pos="9345"/>
            </w:tabs>
          </w:pPr>
          <w:r>
            <w:fldChar w:fldCharType="begin"/>
          </w:r>
          <w:r>
            <w:instrText xml:space="preserve"> HYPERLINK \l "_Toc324" </w:instrText>
          </w:r>
          <w:r>
            <w:fldChar w:fldCharType="separate"/>
          </w:r>
          <w:r>
            <w:rPr>
              <w:rFonts w:hint="eastAsia"/>
              <w:szCs w:val="32"/>
            </w:rPr>
            <w:t>第四章 合同条款及格式</w:t>
          </w:r>
          <w:r>
            <w:tab/>
          </w:r>
          <w:r>
            <w:fldChar w:fldCharType="begin"/>
          </w:r>
          <w:r>
            <w:instrText xml:space="preserve"> PAGEREF _Toc324 \h </w:instrText>
          </w:r>
          <w:r>
            <w:fldChar w:fldCharType="separate"/>
          </w:r>
          <w:r>
            <w:t>8</w:t>
          </w:r>
          <w:r>
            <w:fldChar w:fldCharType="end"/>
          </w:r>
          <w:r>
            <w:fldChar w:fldCharType="end"/>
          </w:r>
        </w:p>
        <w:p>
          <w:pPr>
            <w:pStyle w:val="14"/>
            <w:tabs>
              <w:tab w:val="right" w:leader="dot" w:pos="8306"/>
              <w:tab w:val="clear" w:pos="9345"/>
            </w:tabs>
          </w:pPr>
          <w:r>
            <w:fldChar w:fldCharType="begin"/>
          </w:r>
          <w:r>
            <w:instrText xml:space="preserve"> HYPERLINK \l "_Toc7798" </w:instrText>
          </w:r>
          <w:r>
            <w:fldChar w:fldCharType="separate"/>
          </w:r>
          <w:r>
            <w:rPr>
              <w:rFonts w:hint="eastAsia"/>
              <w:szCs w:val="32"/>
            </w:rPr>
            <w:t>第五章 采购人要求</w:t>
          </w:r>
          <w:r>
            <w:tab/>
          </w:r>
          <w:r>
            <w:fldChar w:fldCharType="begin"/>
          </w:r>
          <w:r>
            <w:instrText xml:space="preserve"> PAGEREF _Toc7798 \h </w:instrText>
          </w:r>
          <w:r>
            <w:fldChar w:fldCharType="separate"/>
          </w:r>
          <w:r>
            <w:t>9</w:t>
          </w:r>
          <w:r>
            <w:fldChar w:fldCharType="end"/>
          </w:r>
          <w:r>
            <w:fldChar w:fldCharType="end"/>
          </w:r>
        </w:p>
        <w:p>
          <w:pPr>
            <w:pStyle w:val="14"/>
            <w:tabs>
              <w:tab w:val="right" w:leader="dot" w:pos="8306"/>
              <w:tab w:val="clear" w:pos="9345"/>
            </w:tabs>
          </w:pPr>
          <w:r>
            <w:fldChar w:fldCharType="begin"/>
          </w:r>
          <w:r>
            <w:instrText xml:space="preserve"> HYPERLINK \l "_Toc21698" </w:instrText>
          </w:r>
          <w:r>
            <w:fldChar w:fldCharType="separate"/>
          </w:r>
          <w:r>
            <w:rPr>
              <w:rFonts w:hint="eastAsia"/>
              <w:szCs w:val="32"/>
            </w:rPr>
            <w:t>第六章 响应文件格式</w:t>
          </w:r>
          <w:r>
            <w:tab/>
          </w:r>
          <w:r>
            <w:fldChar w:fldCharType="begin"/>
          </w:r>
          <w:r>
            <w:instrText xml:space="preserve"> PAGEREF _Toc21698 \h </w:instrText>
          </w:r>
          <w:r>
            <w:fldChar w:fldCharType="separate"/>
          </w:r>
          <w:r>
            <w:t>10</w:t>
          </w:r>
          <w:r>
            <w:fldChar w:fldCharType="end"/>
          </w:r>
          <w:r>
            <w:fldChar w:fldCharType="end"/>
          </w:r>
        </w:p>
        <w:p>
          <w:pPr>
            <w:rPr>
              <w:color w:val="000000"/>
            </w:rPr>
          </w:pPr>
          <w:r>
            <w:rPr>
              <w:color w:val="000000"/>
            </w:rPr>
            <w:fldChar w:fldCharType="end"/>
          </w:r>
        </w:p>
      </w:sdtContent>
    </w:sdt>
    <w:p>
      <w:pPr>
        <w:rPr>
          <w:color w:val="000000"/>
        </w:rPr>
      </w:pPr>
    </w:p>
    <w:p>
      <w:pPr>
        <w:rPr>
          <w:color w:val="000000"/>
        </w:rPr>
      </w:pPr>
    </w:p>
    <w:p>
      <w:pPr>
        <w:pStyle w:val="4"/>
        <w:jc w:val="center"/>
      </w:pPr>
      <w:bookmarkStart w:id="0" w:name="_Hlt101233737"/>
      <w:bookmarkEnd w:id="0"/>
      <w:bookmarkStart w:id="1" w:name="_Hlt10184362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sz w:val="32"/>
          <w:szCs w:val="32"/>
        </w:rPr>
        <w:t>第一章 询价公告</w:t>
      </w:r>
      <w:bookmarkEnd w:id="4"/>
    </w:p>
    <w:p>
      <w:pPr>
        <w:jc w:val="left"/>
        <w:rPr>
          <w:rFonts w:asciiTheme="minorEastAsia" w:hAnsiTheme="minorEastAsia" w:cstheme="minorEastAsia"/>
          <w:szCs w:val="21"/>
        </w:rPr>
      </w:pPr>
      <w:r>
        <w:rPr>
          <w:rFonts w:hint="eastAsia" w:asciiTheme="minorEastAsia" w:hAnsiTheme="minorEastAsia" w:cstheme="minorEastAsia"/>
          <w:color w:val="000000"/>
          <w:kern w:val="0"/>
          <w:szCs w:val="21"/>
          <w:u w:val="single"/>
          <w:lang w:bidi="ar"/>
        </w:rPr>
        <w:t xml:space="preserve">  合江县国瑞商贸有限公司</w:t>
      </w:r>
      <w:r>
        <w:rPr>
          <w:rFonts w:hint="eastAsia" w:asciiTheme="minorEastAsia" w:hAnsiTheme="minorEastAsia" w:cstheme="minorEastAsia"/>
          <w:color w:val="000000"/>
          <w:kern w:val="0"/>
          <w:szCs w:val="21"/>
          <w:lang w:bidi="ar"/>
        </w:rPr>
        <w:t>就</w:t>
      </w:r>
      <w:r>
        <w:rPr>
          <w:rFonts w:hint="eastAsia" w:asciiTheme="minorEastAsia" w:hAnsiTheme="minorEastAsia" w:cstheme="minorEastAsia"/>
          <w:color w:val="000000"/>
          <w:kern w:val="0"/>
          <w:szCs w:val="21"/>
          <w:u w:val="single"/>
          <w:lang w:bidi="ar"/>
        </w:rPr>
        <w:t xml:space="preserve">  混凝土水泥采购</w:t>
      </w:r>
      <w:r>
        <w:rPr>
          <w:rFonts w:hint="eastAsia" w:asciiTheme="minorEastAsia" w:hAnsiTheme="minorEastAsia" w:cstheme="minorEastAsia"/>
          <w:color w:val="000000"/>
          <w:kern w:val="0"/>
          <w:szCs w:val="21"/>
          <w:lang w:bidi="ar"/>
        </w:rPr>
        <w:t xml:space="preserve">组织询价采购，欢迎符合本项目资格条件的潜在供应商参与询价。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一、采购项目概况 </w:t>
      </w:r>
    </w:p>
    <w:p>
      <w:pPr>
        <w:ind w:firstLine="420" w:firstLineChars="200"/>
        <w:rPr>
          <w:color w:val="000000"/>
          <w:szCs w:val="21"/>
        </w:rPr>
      </w:pPr>
      <w:r>
        <w:rPr>
          <w:rFonts w:hint="eastAsia"/>
          <w:color w:val="000000"/>
          <w:szCs w:val="21"/>
        </w:rPr>
        <w:t>1、采购项目名称：混凝土水泥采购</w:t>
      </w:r>
    </w:p>
    <w:p>
      <w:pPr>
        <w:spacing w:line="336" w:lineRule="auto"/>
        <w:ind w:right="31" w:rightChars="15" w:firstLine="420" w:firstLineChars="200"/>
        <w:rPr>
          <w:b/>
          <w:bCs/>
          <w:szCs w:val="21"/>
        </w:rPr>
      </w:pPr>
      <w:r>
        <w:rPr>
          <w:rFonts w:hint="eastAsia"/>
          <w:szCs w:val="21"/>
        </w:rPr>
        <w:t xml:space="preserve">2、资金来源：自筹  </w:t>
      </w:r>
    </w:p>
    <w:p>
      <w:pPr>
        <w:spacing w:line="336" w:lineRule="auto"/>
        <w:ind w:firstLine="420" w:firstLineChars="200"/>
        <w:rPr>
          <w:color w:val="000000"/>
          <w:szCs w:val="21"/>
        </w:rPr>
      </w:pPr>
      <w:r>
        <w:rPr>
          <w:rFonts w:hint="eastAsia"/>
          <w:color w:val="000000"/>
          <w:szCs w:val="21"/>
        </w:rPr>
        <w:t>3、采购项目内容及预算资金：采购PO42.5R散装水泥一批，</w:t>
      </w:r>
    </w:p>
    <w:p>
      <w:pPr>
        <w:spacing w:line="336" w:lineRule="auto"/>
        <w:ind w:firstLine="420" w:firstLineChars="200"/>
        <w:rPr>
          <w:color w:val="000000"/>
          <w:szCs w:val="21"/>
        </w:rPr>
      </w:pPr>
      <w:r>
        <w:rPr>
          <w:rFonts w:hint="eastAsia"/>
          <w:color w:val="000000"/>
          <w:szCs w:val="21"/>
        </w:rPr>
        <w:t>暂估价780000.00元。</w:t>
      </w:r>
    </w:p>
    <w:p>
      <w:pPr>
        <w:spacing w:line="336" w:lineRule="auto"/>
        <w:ind w:firstLine="420" w:firstLineChars="200"/>
        <w:rPr>
          <w:color w:val="000000"/>
          <w:szCs w:val="21"/>
        </w:rPr>
      </w:pPr>
      <w:r>
        <w:rPr>
          <w:rFonts w:hint="eastAsia"/>
          <w:color w:val="000000"/>
          <w:szCs w:val="21"/>
        </w:rPr>
        <w:t>4、交货期/供货周期：以合同约定为准</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二、供应商参加本次询价应具备下列条件： </w:t>
      </w:r>
    </w:p>
    <w:p>
      <w:pPr>
        <w:spacing w:line="336" w:lineRule="auto"/>
        <w:ind w:firstLine="420" w:firstLineChars="200"/>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1、一般要求：</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2、资质要求：</w:t>
      </w:r>
      <w:r>
        <w:rPr>
          <w:rFonts w:hint="eastAsia" w:asciiTheme="minorEastAsia" w:hAnsiTheme="minorEastAsia" w:cstheme="minorEastAsia"/>
          <w:color w:val="000000"/>
          <w:kern w:val="0"/>
          <w:szCs w:val="21"/>
          <w:u w:val="single"/>
          <w:lang w:bidi="ar"/>
        </w:rPr>
        <w:t xml:space="preserve">         /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3、其他要求：</w:t>
      </w:r>
      <w:r>
        <w:rPr>
          <w:rFonts w:hint="eastAsia" w:asciiTheme="minorEastAsia" w:hAnsiTheme="minorEastAsia" w:cstheme="minorEastAsia"/>
          <w:color w:val="000000"/>
          <w:kern w:val="0"/>
          <w:szCs w:val="21"/>
          <w:u w:val="single"/>
          <w:lang w:bidi="ar"/>
        </w:rPr>
        <w:t xml:space="preserve">       具备独立法人资格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4、本项目</w:t>
      </w:r>
      <w:r>
        <w:rPr>
          <w:rFonts w:hint="eastAsia" w:asciiTheme="minorEastAsia" w:hAnsiTheme="minorEastAsia" w:cstheme="minorEastAsia"/>
          <w:color w:val="000000"/>
          <w:kern w:val="0"/>
          <w:szCs w:val="21"/>
          <w:u w:val="single"/>
          <w:lang w:bidi="ar"/>
        </w:rPr>
        <w:t xml:space="preserve"> （不接受） </w:t>
      </w:r>
      <w:r>
        <w:rPr>
          <w:rFonts w:hint="eastAsia" w:asciiTheme="minorEastAsia" w:hAnsiTheme="minorEastAsia" w:cstheme="minorEastAsia"/>
          <w:color w:val="000000"/>
          <w:kern w:val="0"/>
          <w:szCs w:val="21"/>
          <w:lang w:bidi="ar"/>
        </w:rPr>
        <w:t xml:space="preserve">联合体参加询价。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三、询价响应文件格式文件的获取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□向采购人领取书面文件。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□向采购人索取电子文件。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☑其他</w:t>
      </w:r>
      <w:r>
        <w:rPr>
          <w:rFonts w:hint="eastAsia" w:ascii="宋体" w:hAnsi="宋体" w:eastAsia="宋体" w:cs="宋体"/>
          <w:color w:val="000000"/>
          <w:kern w:val="0"/>
          <w:szCs w:val="21"/>
          <w:u w:val="single"/>
          <w:lang w:bidi="ar"/>
        </w:rPr>
        <w:t xml:space="preserve"> 网站下载电子档  </w:t>
      </w:r>
      <w:r>
        <w:rPr>
          <w:rFonts w:hint="eastAsia" w:ascii="宋体" w:hAnsi="宋体" w:eastAsia="宋体" w:cs="宋体"/>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四、询价响应文件递交截止时间及递交地点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☑向采购人递交书面询价响应文件，递交的截止时间（询价截止时间，下同）为</w:t>
      </w:r>
      <w:r>
        <w:rPr>
          <w:rFonts w:hint="eastAsia" w:ascii="宋体" w:hAnsi="宋体" w:eastAsia="宋体" w:cs="宋体"/>
          <w:color w:val="000000"/>
          <w:kern w:val="0"/>
          <w:szCs w:val="21"/>
          <w:u w:val="single"/>
          <w:lang w:bidi="ar"/>
        </w:rPr>
        <w:t xml:space="preserve"> 2023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6</w:t>
      </w:r>
      <w:r>
        <w:rPr>
          <w:rFonts w:hint="eastAsia" w:ascii="宋体" w:hAnsi="宋体" w:eastAsia="宋体" w:cs="宋体"/>
          <w:color w:val="000000"/>
          <w:kern w:val="0"/>
          <w:szCs w:val="21"/>
          <w:lang w:bidi="ar"/>
        </w:rPr>
        <w:t xml:space="preserve">月 </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u w:val="single"/>
          <w:lang w:bidi="ar"/>
        </w:rPr>
        <w:t>8</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17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00 </w:t>
      </w:r>
      <w:r>
        <w:rPr>
          <w:rFonts w:hint="eastAsia" w:ascii="宋体" w:hAnsi="宋体" w:eastAsia="宋体" w:cs="宋体"/>
          <w:color w:val="000000"/>
          <w:kern w:val="0"/>
          <w:szCs w:val="21"/>
          <w:lang w:bidi="ar"/>
        </w:rPr>
        <w:t>分前，地点为</w:t>
      </w:r>
      <w:r>
        <w:rPr>
          <w:rFonts w:hint="eastAsia" w:ascii="宋体" w:hAnsi="宋体" w:eastAsia="宋体" w:cs="宋体"/>
          <w:color w:val="000000"/>
          <w:kern w:val="0"/>
          <w:szCs w:val="21"/>
          <w:u w:val="single"/>
          <w:lang w:bidi="ar"/>
        </w:rPr>
        <w:t xml:space="preserve"> 合江县荔城大道194号四川占川项目管理咨询有限公司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□询价响应文件以电子邮件方式向采购人递交，递交的截止时间（询价截止时间，下同）为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日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□询价响应文件以传真方式向采购人递交，递交的截止时间（询价截止时间，下同） 为 </w:t>
      </w:r>
      <w:r>
        <w:rPr>
          <w:rFonts w:hint="eastAsia" w:ascii="宋体" w:hAnsi="宋体" w:eastAsia="宋体" w:cs="宋体"/>
          <w:color w:val="000000"/>
          <w:kern w:val="0"/>
          <w:szCs w:val="21"/>
          <w:u w:val="single"/>
          <w:lang w:bidi="ar"/>
        </w:rPr>
        <w:t xml:space="preserve">年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□其他递交方式：</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逾期送达的或者未按上述要求前送达的询价响应文件，采购人不予受理。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五、发布媒介 </w:t>
      </w:r>
    </w:p>
    <w:p>
      <w:pPr>
        <w:widowControl/>
        <w:spacing w:line="360" w:lineRule="auto"/>
        <w:ind w:left="2310" w:leftChars="200" w:hanging="1890" w:hangingChars="9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 本询价公告在</w:t>
      </w:r>
      <w:r>
        <w:rPr>
          <w:rFonts w:hint="eastAsia" w:asciiTheme="minorEastAsia" w:hAnsiTheme="minorEastAsia" w:cstheme="minorEastAsia"/>
          <w:color w:val="000000"/>
          <w:kern w:val="0"/>
          <w:szCs w:val="21"/>
          <w:u w:val="single"/>
          <w:lang w:bidi="ar"/>
        </w:rPr>
        <w:t>（泸州阜阳投资集团有限公司官网公式栏）</w:t>
      </w:r>
      <w:r>
        <w:rPr>
          <w:rFonts w:hint="eastAsia" w:asciiTheme="minorEastAsia" w:hAnsiTheme="minorEastAsia" w:cstheme="minorEastAsia"/>
          <w:color w:val="000000"/>
          <w:kern w:val="0"/>
          <w:szCs w:val="21"/>
          <w:lang w:bidi="ar"/>
        </w:rPr>
        <w:t>上发布。</w:t>
      </w:r>
      <w:r>
        <w:rPr>
          <w:rFonts w:hint="eastAsia" w:asciiTheme="minorEastAsia" w:hAnsiTheme="minorEastAsia" w:cstheme="minorEastAsia"/>
          <w:color w:val="000000"/>
          <w:kern w:val="0"/>
          <w:szCs w:val="21"/>
          <w:u w:val="single"/>
          <w:lang w:bidi="ar"/>
        </w:rPr>
        <w:t>http://www.lzfyjt.com/gsgg/</w:t>
      </w: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六、联系方式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采购人（全称）：</w:t>
      </w:r>
      <w:r>
        <w:rPr>
          <w:rFonts w:hint="eastAsia" w:asciiTheme="minorEastAsia" w:hAnsiTheme="minorEastAsia" w:cstheme="minorEastAsia"/>
          <w:b/>
          <w:color w:val="000000"/>
          <w:kern w:val="0"/>
          <w:szCs w:val="21"/>
          <w:lang w:bidi="ar"/>
        </w:rPr>
        <w:t xml:space="preserve"> 合江县国瑞商贸有限公司</w:t>
      </w:r>
      <w:r>
        <w:rPr>
          <w:rFonts w:hint="eastAsia" w:asciiTheme="minorEastAsia" w:hAnsiTheme="minorEastAsia" w:cstheme="minorEastAsia"/>
          <w:color w:val="000000"/>
          <w:kern w:val="0"/>
          <w:szCs w:val="21"/>
          <w:lang w:bidi="ar"/>
        </w:rPr>
        <w:t>地 址：</w:t>
      </w:r>
      <w:r>
        <w:rPr>
          <w:rFonts w:hint="eastAsia" w:asciiTheme="minorEastAsia" w:hAnsiTheme="minorEastAsia" w:cstheme="minorEastAsia"/>
          <w:b/>
          <w:color w:val="000000"/>
          <w:kern w:val="0"/>
          <w:szCs w:val="21"/>
          <w:lang w:bidi="ar"/>
        </w:rPr>
        <w:t xml:space="preserve"> 荔城大道190号</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徐先生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电 话：</w:t>
      </w:r>
      <w:r>
        <w:rPr>
          <w:rFonts w:hint="eastAsia" w:asciiTheme="minorEastAsia" w:hAnsiTheme="minorEastAsia" w:cstheme="minorEastAsia"/>
          <w:b/>
          <w:color w:val="000000"/>
          <w:kern w:val="0"/>
          <w:szCs w:val="21"/>
          <w:lang w:bidi="ar"/>
        </w:rPr>
        <w:t>18983136066</w:t>
      </w:r>
    </w:p>
    <w:p>
      <w:pPr>
        <w:widowControl/>
        <w:spacing w:line="360" w:lineRule="auto"/>
        <w:ind w:firstLine="420" w:firstLineChars="200"/>
        <w:jc w:val="left"/>
        <w:rPr>
          <w:rFonts w:asciiTheme="minorEastAsia" w:hAnsiTheme="minorEastAsia" w:cstheme="minorEastAsia"/>
          <w:color w:val="000000"/>
          <w:kern w:val="0"/>
          <w:szCs w:val="21"/>
          <w:lang w:bidi="ar"/>
        </w:rPr>
      </w:pPr>
    </w:p>
    <w:p>
      <w:pPr>
        <w:widowControl/>
        <w:spacing w:line="360" w:lineRule="auto"/>
        <w:ind w:firstLine="420" w:firstLineChars="200"/>
        <w:jc w:val="left"/>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监督人：泸州阜阳投资集团有限公司招标采购中心</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联系电话：</w:t>
      </w:r>
      <w:r>
        <w:rPr>
          <w:rFonts w:hint="eastAsia" w:asciiTheme="minorEastAsia" w:hAnsiTheme="minorEastAsia" w:cstheme="minorEastAsia"/>
          <w:b/>
          <w:color w:val="000000"/>
          <w:kern w:val="0"/>
          <w:szCs w:val="21"/>
          <w:lang w:bidi="ar"/>
        </w:rPr>
        <w:t xml:space="preserve"> 0830-8831616</w:t>
      </w:r>
    </w:p>
    <w:p>
      <w:pPr>
        <w:pStyle w:val="2"/>
      </w:pP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2023年</w:t>
      </w:r>
      <w:r>
        <w:rPr>
          <w:rFonts w:asciiTheme="minorEastAsia" w:hAnsiTheme="minorEastAsia" w:cstheme="minorEastAsia"/>
          <w:color w:val="000000"/>
          <w:kern w:val="0"/>
          <w:szCs w:val="21"/>
          <w:lang w:bidi="ar"/>
        </w:rPr>
        <w:t>6</w:t>
      </w:r>
      <w:r>
        <w:rPr>
          <w:rFonts w:hint="eastAsia" w:asciiTheme="minorEastAsia" w:hAnsiTheme="minorEastAsia" w:cstheme="minorEastAsia"/>
          <w:color w:val="000000"/>
          <w:kern w:val="0"/>
          <w:szCs w:val="21"/>
          <w:lang w:bidi="ar"/>
        </w:rPr>
        <w:t>月2日</w:t>
      </w:r>
    </w:p>
    <w:p>
      <w:pPr>
        <w:rPr>
          <w:rFonts w:cs="黑体" w:asciiTheme="minorEastAsia" w:hAnsiTheme="minorEastAsia"/>
          <w:sz w:val="24"/>
          <w:szCs w:val="24"/>
        </w:rPr>
      </w:pPr>
      <w:r>
        <w:rPr>
          <w:rFonts w:hint="eastAsia" w:cs="黑体" w:asciiTheme="minorEastAsia" w:hAnsiTheme="minorEastAsia"/>
          <w:sz w:val="24"/>
          <w:szCs w:val="24"/>
        </w:rPr>
        <w:br w:type="page"/>
      </w:r>
    </w:p>
    <w:p>
      <w:pPr>
        <w:rPr>
          <w:rFonts w:cs="黑体" w:asciiTheme="minorEastAsia" w:hAnsiTheme="minorEastAsia"/>
          <w:sz w:val="32"/>
          <w:szCs w:val="32"/>
        </w:rPr>
      </w:pPr>
    </w:p>
    <w:bookmarkEnd w:id="2"/>
    <w:bookmarkEnd w:id="3"/>
    <w:p>
      <w:pPr>
        <w:pStyle w:val="23"/>
        <w:spacing w:line="240" w:lineRule="auto"/>
        <w:ind w:firstLine="420"/>
        <w:rPr>
          <w:szCs w:val="21"/>
        </w:rPr>
      </w:pPr>
      <w:bookmarkStart w:id="5" w:name="_Toc213396759"/>
      <w:bookmarkStart w:id="6" w:name="_Toc217446031"/>
      <w:bookmarkStart w:id="7" w:name="_Toc213397009"/>
      <w:bookmarkStart w:id="8" w:name="_Toc213396945"/>
      <w:bookmarkStart w:id="9" w:name="_Toc213496267"/>
    </w:p>
    <w:p>
      <w:pPr>
        <w:pStyle w:val="4"/>
        <w:keepNext w:val="0"/>
        <w:keepLines w:val="0"/>
        <w:numPr>
          <w:ilvl w:val="0"/>
          <w:numId w:val="1"/>
        </w:numPr>
        <w:spacing w:before="0" w:after="0" w:line="240" w:lineRule="auto"/>
        <w:jc w:val="center"/>
        <w:rPr>
          <w:rFonts w:cs="宋体"/>
          <w:kern w:val="2"/>
          <w:sz w:val="32"/>
          <w:szCs w:val="32"/>
        </w:rPr>
      </w:pPr>
      <w:bookmarkStart w:id="10" w:name="_Toc12414"/>
      <w:bookmarkStart w:id="11" w:name="_Toc5869721"/>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4"/>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4"/>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合江县国瑞商贸有限公司  地址： 合江县张湾园区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混凝土水泥采购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p>
          <w:p>
            <w:pPr>
              <w:ind w:left="38"/>
              <w:jc w:val="left"/>
              <w:rPr>
                <w:rFonts w:asciiTheme="minorEastAsia" w:hAnsiTheme="minorEastAsia"/>
                <w:color w:val="00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暂估总价最高限价780000.00元（大写：柒拾捌万元整）超过最高限价将做废标处理。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vAlign w:val="center"/>
          </w:tcPr>
          <w:p>
            <w:pPr>
              <w:pStyle w:val="24"/>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000000"/>
          <w:szCs w:val="21"/>
          <w:u w:val="single"/>
        </w:rPr>
        <w:t xml:space="preserve"> </w:t>
      </w:r>
      <w:r>
        <w:rPr>
          <w:rFonts w:hint="eastAsia"/>
          <w:color w:val="000000"/>
          <w:szCs w:val="21"/>
          <w:u w:val="single"/>
          <w:lang w:val="zh-CN"/>
        </w:rPr>
        <w:t>按中标总额的</w:t>
      </w:r>
      <w:r>
        <w:rPr>
          <w:rFonts w:hint="eastAsia"/>
          <w:color w:val="000000"/>
          <w:szCs w:val="21"/>
          <w:u w:val="single"/>
        </w:rPr>
        <w:t>5</w:t>
      </w:r>
      <w:r>
        <w:rPr>
          <w:rFonts w:hint="eastAsia"/>
          <w:color w:val="000000"/>
          <w:szCs w:val="21"/>
          <w:u w:val="single"/>
          <w:lang w:val="zh-CN"/>
        </w:rPr>
        <w:t>%</w:t>
      </w:r>
      <w:r>
        <w:rPr>
          <w:rFonts w:hint="eastAsia"/>
          <w:color w:val="000000"/>
          <w:szCs w:val="21"/>
          <w:u w:val="single"/>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b/>
          <w:color w:val="000000"/>
          <w:szCs w:val="21"/>
        </w:rPr>
      </w:pPr>
      <w:r>
        <w:rPr>
          <w:rFonts w:hint="eastAsia"/>
          <w:b/>
          <w:color w:val="000000"/>
          <w:szCs w:val="21"/>
        </w:rPr>
        <w:t>9.响应文件中报价如果出现下列不一致的，可按以下原则进行修改：</w:t>
      </w:r>
    </w:p>
    <w:p>
      <w:pPr>
        <w:spacing w:line="336" w:lineRule="auto"/>
        <w:ind w:firstLine="420" w:firstLineChars="200"/>
        <w:rPr>
          <w:color w:val="000000"/>
          <w:szCs w:val="21"/>
        </w:rPr>
      </w:pPr>
      <w:r>
        <w:rPr>
          <w:rFonts w:hint="eastAsia"/>
          <w:color w:val="000000"/>
          <w:szCs w:val="21"/>
        </w:rPr>
        <w:t>（1）大写金额和小写金额不一致的，以大写金额为准，但大写金额文字存在错误的，应当先对大写金额的文字错误进行澄清、说明或者更正，再行修正。</w:t>
      </w:r>
    </w:p>
    <w:p>
      <w:pPr>
        <w:spacing w:line="336" w:lineRule="auto"/>
        <w:ind w:firstLine="420" w:firstLineChars="200"/>
        <w:rPr>
          <w:color w:val="000000"/>
          <w:szCs w:val="21"/>
        </w:rPr>
      </w:pPr>
      <w:r>
        <w:rPr>
          <w:rFonts w:hint="eastAsia"/>
          <w:color w:val="000000"/>
          <w:szCs w:val="21"/>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color w:val="000000"/>
          <w:szCs w:val="21"/>
        </w:rPr>
      </w:pPr>
      <w:r>
        <w:rPr>
          <w:rFonts w:hint="eastAsia"/>
          <w:color w:val="000000"/>
          <w:szCs w:val="21"/>
        </w:rPr>
        <w:t>（3）单价金额小数点或者百分比有明显错位的，以总价为准，修正单价。同时出现两种以上不一致的，按照上述规定的顺序修正。修正后的报价经供应商确认后产生约束力，供应商不确认的，其响应文件作为无效处理。</w:t>
      </w:r>
    </w:p>
    <w:p>
      <w:pPr>
        <w:rPr>
          <w:rFonts w:ascii="宋体" w:hAnsi="宋体" w:eastAsia="宋体" w:cs="Times New Roman"/>
          <w:sz w:val="24"/>
          <w:szCs w:val="24"/>
        </w:rPr>
      </w:pP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jc w:val="center"/>
        <w:rPr>
          <w:rStyle w:val="33"/>
          <w:sz w:val="32"/>
          <w:szCs w:val="32"/>
        </w:rPr>
      </w:pPr>
      <w:r>
        <w:br w:type="page"/>
      </w:r>
      <w:bookmarkStart w:id="13" w:name="_Toc324"/>
      <w:r>
        <w:rPr>
          <w:rStyle w:val="33"/>
          <w:rFonts w:hint="eastAsia" w:ascii="Times New Roman" w:hAnsi="Times New Roman" w:eastAsia="宋体" w:cs="Times New Roman"/>
          <w:sz w:val="32"/>
          <w:szCs w:val="32"/>
        </w:rPr>
        <w:t xml:space="preserve">第四章 </w:t>
      </w:r>
      <w:r>
        <w:rPr>
          <w:rStyle w:val="33"/>
          <w:rFonts w:hint="eastAsia"/>
          <w:sz w:val="32"/>
          <w:szCs w:val="32"/>
        </w:rPr>
        <w:t>合同条款及格式</w:t>
      </w:r>
      <w:bookmarkEnd w:id="13"/>
    </w:p>
    <w:p>
      <w:pPr>
        <w:jc w:val="center"/>
        <w:rPr>
          <w:rFonts w:eastAsia="微软雅黑"/>
          <w:sz w:val="44"/>
          <w:szCs w:val="44"/>
        </w:rPr>
      </w:pPr>
      <w:r>
        <w:rPr>
          <w:rFonts w:hint="eastAsia" w:eastAsia="微软雅黑"/>
          <w:sz w:val="44"/>
          <w:szCs w:val="44"/>
        </w:rPr>
        <w:t>合江县国瑞商贸有限公司</w:t>
      </w:r>
    </w:p>
    <w:p>
      <w:pPr>
        <w:jc w:val="center"/>
        <w:rPr>
          <w:rFonts w:eastAsia="微软雅黑"/>
          <w:sz w:val="44"/>
          <w:szCs w:val="44"/>
        </w:rPr>
      </w:pPr>
      <w:r>
        <w:rPr>
          <w:rFonts w:hint="eastAsia" w:eastAsia="微软雅黑"/>
          <w:sz w:val="44"/>
          <w:szCs w:val="44"/>
        </w:rPr>
        <w:t>水泥供应合同</w:t>
      </w: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ind w:firstLine="1921" w:firstLineChars="600"/>
        <w:rPr>
          <w:rFonts w:eastAsia="微软雅黑"/>
          <w:b/>
          <w:bCs/>
          <w:sz w:val="32"/>
          <w:szCs w:val="32"/>
          <w:u w:val="single"/>
        </w:rPr>
      </w:pPr>
      <w:r>
        <w:rPr>
          <w:rFonts w:hint="eastAsia" w:eastAsia="微软雅黑"/>
          <w:b/>
          <w:bCs/>
          <w:sz w:val="32"/>
          <w:szCs w:val="32"/>
        </w:rPr>
        <w:t>甲方</w:t>
      </w:r>
      <w:r>
        <w:rPr>
          <w:rFonts w:eastAsia="微软雅黑"/>
          <w:b/>
          <w:bCs/>
          <w:sz w:val="32"/>
          <w:szCs w:val="32"/>
        </w:rPr>
        <w:t>：</w:t>
      </w:r>
      <w:r>
        <w:rPr>
          <w:rFonts w:eastAsia="微软雅黑"/>
          <w:b/>
          <w:bCs/>
          <w:sz w:val="32"/>
          <w:szCs w:val="32"/>
          <w:u w:val="single"/>
        </w:rPr>
        <w:t xml:space="preserve"> 合江县国瑞</w:t>
      </w:r>
      <w:r>
        <w:rPr>
          <w:rFonts w:hint="eastAsia" w:eastAsia="微软雅黑"/>
          <w:b/>
          <w:bCs/>
          <w:sz w:val="32"/>
          <w:szCs w:val="32"/>
          <w:u w:val="single"/>
        </w:rPr>
        <w:t>商贸</w:t>
      </w:r>
      <w:r>
        <w:rPr>
          <w:rFonts w:eastAsia="微软雅黑"/>
          <w:b/>
          <w:bCs/>
          <w:sz w:val="32"/>
          <w:szCs w:val="32"/>
          <w:u w:val="single"/>
        </w:rPr>
        <w:t>有限公司</w:t>
      </w:r>
      <w:r>
        <w:rPr>
          <w:rFonts w:hint="eastAsia" w:eastAsia="微软雅黑"/>
          <w:b/>
          <w:bCs/>
          <w:sz w:val="32"/>
          <w:szCs w:val="32"/>
          <w:u w:val="single"/>
        </w:rPr>
        <w:t xml:space="preserve">  </w:t>
      </w:r>
      <w:r>
        <w:rPr>
          <w:rFonts w:eastAsia="微软雅黑"/>
          <w:b/>
          <w:bCs/>
          <w:sz w:val="32"/>
          <w:szCs w:val="32"/>
          <w:u w:val="single"/>
        </w:rPr>
        <w:t xml:space="preserve"> </w:t>
      </w:r>
    </w:p>
    <w:p>
      <w:pPr>
        <w:rPr>
          <w:rFonts w:eastAsia="微软雅黑"/>
          <w:b/>
          <w:bCs/>
          <w:sz w:val="32"/>
          <w:szCs w:val="32"/>
        </w:rPr>
      </w:pPr>
    </w:p>
    <w:p>
      <w:pPr>
        <w:ind w:firstLine="1921" w:firstLineChars="600"/>
        <w:rPr>
          <w:rFonts w:eastAsia="微软雅黑"/>
          <w:b/>
          <w:bCs/>
          <w:sz w:val="32"/>
          <w:szCs w:val="32"/>
          <w:u w:val="single"/>
        </w:rPr>
      </w:pPr>
      <w:r>
        <w:rPr>
          <w:rFonts w:hint="eastAsia" w:eastAsia="微软雅黑"/>
          <w:b/>
          <w:bCs/>
          <w:sz w:val="32"/>
          <w:szCs w:val="32"/>
        </w:rPr>
        <w:t>乙方：</w:t>
      </w:r>
      <w:r>
        <w:rPr>
          <w:rFonts w:hint="eastAsia" w:eastAsia="微软雅黑"/>
          <w:b/>
          <w:bCs/>
          <w:sz w:val="32"/>
          <w:szCs w:val="32"/>
          <w:u w:val="single"/>
        </w:rPr>
        <w:t xml:space="preserve">                         </w:t>
      </w:r>
      <w:r>
        <w:rPr>
          <w:rFonts w:eastAsia="微软雅黑"/>
          <w:b/>
          <w:bCs/>
          <w:sz w:val="32"/>
          <w:szCs w:val="32"/>
          <w:u w:val="single"/>
        </w:rPr>
        <w:t xml:space="preserve"> </w:t>
      </w:r>
    </w:p>
    <w:p>
      <w:pPr>
        <w:rPr>
          <w:rFonts w:eastAsia="微软雅黑"/>
          <w:b/>
          <w:bCs/>
          <w:sz w:val="32"/>
          <w:szCs w:val="32"/>
        </w:rPr>
      </w:pPr>
    </w:p>
    <w:p>
      <w:pPr>
        <w:rPr>
          <w:rFonts w:eastAsia="微软雅黑"/>
          <w:b/>
          <w:bCs/>
          <w:sz w:val="32"/>
          <w:szCs w:val="32"/>
        </w:rPr>
      </w:pPr>
    </w:p>
    <w:p>
      <w:pPr>
        <w:rPr>
          <w:rFonts w:eastAsia="微软雅黑"/>
          <w:b/>
          <w:bCs/>
          <w:sz w:val="32"/>
          <w:szCs w:val="32"/>
        </w:rPr>
      </w:pPr>
    </w:p>
    <w:p>
      <w:pPr>
        <w:spacing w:after="319" w:afterLines="100"/>
        <w:ind w:firstLine="1921" w:firstLineChars="600"/>
        <w:rPr>
          <w:rFonts w:ascii="仿宋" w:hAnsi="仿宋" w:eastAsia="仿宋" w:cs="仿宋"/>
          <w:sz w:val="28"/>
          <w:szCs w:val="28"/>
        </w:rPr>
      </w:pPr>
      <w:r>
        <w:rPr>
          <w:rFonts w:eastAsia="微软雅黑"/>
          <w:b/>
          <w:bCs/>
          <w:sz w:val="32"/>
          <w:szCs w:val="32"/>
        </w:rPr>
        <w:t>签订时间：</w:t>
      </w:r>
      <w:r>
        <w:rPr>
          <w:rFonts w:hint="eastAsia" w:eastAsia="微软雅黑"/>
          <w:b/>
          <w:bCs/>
          <w:sz w:val="32"/>
          <w:szCs w:val="32"/>
        </w:rPr>
        <w:t>2023</w:t>
      </w:r>
      <w:r>
        <w:rPr>
          <w:rFonts w:eastAsia="微软雅黑"/>
          <w:b/>
          <w:bCs/>
          <w:sz w:val="32"/>
          <w:szCs w:val="32"/>
        </w:rPr>
        <w:t>年</w:t>
      </w:r>
      <w:r>
        <w:rPr>
          <w:rFonts w:hint="eastAsia" w:eastAsia="微软雅黑"/>
          <w:b/>
          <w:bCs/>
          <w:sz w:val="32"/>
          <w:szCs w:val="32"/>
        </w:rPr>
        <w:t xml:space="preserve">    </w:t>
      </w:r>
      <w:r>
        <w:rPr>
          <w:rFonts w:eastAsia="微软雅黑"/>
          <w:b/>
          <w:bCs/>
          <w:sz w:val="32"/>
          <w:szCs w:val="32"/>
        </w:rPr>
        <w:t xml:space="preserve">月 </w:t>
      </w:r>
      <w:r>
        <w:rPr>
          <w:rFonts w:hint="eastAsia" w:eastAsia="微软雅黑"/>
          <w:b/>
          <w:bCs/>
          <w:sz w:val="32"/>
          <w:szCs w:val="32"/>
        </w:rPr>
        <w:t xml:space="preserve">   </w:t>
      </w:r>
      <w:r>
        <w:rPr>
          <w:rFonts w:eastAsia="微软雅黑"/>
          <w:b/>
          <w:bCs/>
          <w:sz w:val="32"/>
          <w:szCs w:val="32"/>
        </w:rPr>
        <w:t>日</w:t>
      </w:r>
      <w:r>
        <w:rPr>
          <w:rFonts w:eastAsia="微软雅黑"/>
          <w:sz w:val="28"/>
          <w:szCs w:val="28"/>
        </w:rPr>
        <w:br w:type="page"/>
      </w:r>
      <w:r>
        <w:rPr>
          <w:rFonts w:hint="eastAsia" w:eastAsia="微软雅黑"/>
          <w:sz w:val="28"/>
          <w:szCs w:val="28"/>
        </w:rPr>
        <w:t xml:space="preserve">                   </w:t>
      </w:r>
      <w:r>
        <w:rPr>
          <w:rFonts w:hint="eastAsia" w:ascii="微软雅黑" w:hAnsi="仿宋" w:eastAsia="微软雅黑" w:cs="仿宋"/>
          <w:bCs/>
          <w:sz w:val="36"/>
          <w:szCs w:val="36"/>
        </w:rPr>
        <w:t>水泥供应合同</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（以下简称买方）</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乙方：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（以下简称卖方）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按照诚信、公平、自愿、互惠互利的原则，根据《中华人民共和国民法典》及其他法律法规，经甲、乙双方友好协商，现就水泥购销事宜，达成如下协议。</w:t>
      </w:r>
    </w:p>
    <w:p>
      <w:pPr>
        <w:tabs>
          <w:tab w:val="left" w:pos="4140"/>
        </w:tabs>
        <w:spacing w:line="560" w:lineRule="exact"/>
        <w:ind w:firstLine="560" w:firstLineChars="200"/>
        <w:rPr>
          <w:rFonts w:ascii="仿宋" w:hAnsi="仿宋" w:eastAsia="仿宋" w:cs="仿宋"/>
          <w:bCs/>
          <w:sz w:val="28"/>
          <w:szCs w:val="28"/>
        </w:rPr>
      </w:pPr>
      <w:bookmarkStart w:id="14" w:name="_Hlk13215250"/>
      <w:r>
        <w:rPr>
          <w:rFonts w:hint="eastAsia" w:ascii="仿宋" w:hAnsi="仿宋" w:eastAsia="仿宋" w:cs="仿宋"/>
          <w:bCs/>
          <w:sz w:val="28"/>
          <w:szCs w:val="28"/>
        </w:rPr>
        <w:t>一、产品名称</w:t>
      </w:r>
      <w:bookmarkEnd w:id="14"/>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散装P.O 42.5R普通硅酸盐水泥及买方需要的其他规格水泥。</w:t>
      </w:r>
    </w:p>
    <w:p>
      <w:pPr>
        <w:tabs>
          <w:tab w:val="left" w:pos="4140"/>
        </w:tabs>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二、交易方式</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买方采取批量采购，买方每批次采购向商家询价，遵循质优、价低的原则选定商家；合同有效期为本次中选供应商签定供应量完成时间，卖方不作为买方唯一供应商。</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三、质量要求、技术标准</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按国家标准GB175—2007（水泥标准）执行（若国标有修订，按国家新颁布的标准执行）。</w:t>
      </w:r>
    </w:p>
    <w:p>
      <w:pPr>
        <w:spacing w:line="560" w:lineRule="exact"/>
        <w:ind w:left="482"/>
        <w:rPr>
          <w:rFonts w:ascii="仿宋" w:hAnsi="仿宋" w:eastAsia="仿宋" w:cs="仿宋"/>
          <w:b/>
          <w:bCs/>
          <w:sz w:val="28"/>
          <w:szCs w:val="28"/>
        </w:rPr>
      </w:pPr>
      <w:r>
        <w:rPr>
          <w:rFonts w:hint="eastAsia" w:ascii="仿宋" w:hAnsi="仿宋" w:eastAsia="仿宋" w:cs="仿宋"/>
          <w:bCs/>
          <w:sz w:val="28"/>
          <w:szCs w:val="28"/>
        </w:rPr>
        <w:t>四、数量、交货地点、运输方式和履约保证</w:t>
      </w:r>
    </w:p>
    <w:p>
      <w:pPr>
        <w:adjustRightInd w:val="0"/>
        <w:snapToGrid w:val="0"/>
        <w:spacing w:line="560" w:lineRule="exact"/>
        <w:ind w:firstLine="560" w:firstLineChars="200"/>
        <w:jc w:val="left"/>
        <w:rPr>
          <w:rFonts w:ascii="仿宋" w:hAnsi="仿宋" w:eastAsia="仿宋" w:cs="仿宋"/>
          <w:sz w:val="28"/>
          <w:szCs w:val="28"/>
          <w:u w:val="single"/>
        </w:rPr>
      </w:pPr>
      <w:r>
        <w:rPr>
          <w:rFonts w:hint="eastAsia" w:ascii="仿宋" w:hAnsi="仿宋" w:eastAsia="仿宋" w:cs="仿宋"/>
          <w:sz w:val="28"/>
          <w:szCs w:val="28"/>
        </w:rPr>
        <w:t>1、本批次采购水泥量约</w:t>
      </w:r>
      <w:r>
        <w:rPr>
          <w:rFonts w:hint="eastAsia" w:ascii="仿宋" w:hAnsi="仿宋" w:eastAsia="仿宋" w:cs="仿宋"/>
          <w:sz w:val="28"/>
          <w:szCs w:val="28"/>
          <w:u w:val="single"/>
        </w:rPr>
        <w:t xml:space="preserve">  2000  </w:t>
      </w:r>
      <w:r>
        <w:rPr>
          <w:rFonts w:hint="eastAsia" w:ascii="仿宋" w:hAnsi="仿宋" w:eastAsia="仿宋" w:cs="仿宋"/>
          <w:sz w:val="28"/>
          <w:szCs w:val="28"/>
        </w:rPr>
        <w:t>吨。</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2、根据买方材料供应计划日期送至买方指定交货地点</w:t>
      </w:r>
      <w:r>
        <w:rPr>
          <w:rFonts w:hint="eastAsia" w:ascii="仿宋" w:hAnsi="仿宋" w:eastAsia="仿宋" w:cs="仿宋"/>
          <w:sz w:val="28"/>
          <w:szCs w:val="28"/>
          <w:u w:val="single"/>
        </w:rPr>
        <w:t>国瑞商砼站</w:t>
      </w:r>
      <w:r>
        <w:rPr>
          <w:rFonts w:hint="eastAsia" w:ascii="仿宋" w:hAnsi="仿宋" w:eastAsia="仿宋" w:cs="仿宋"/>
          <w:sz w:val="28"/>
          <w:szCs w:val="28"/>
        </w:rPr>
        <w:t xml:space="preserve">。                  </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3、交货方式及费用承担：卖方委托</w:t>
      </w:r>
      <w:r>
        <w:rPr>
          <w:rFonts w:hint="eastAsia" w:ascii="仿宋" w:hAnsi="仿宋" w:eastAsia="仿宋" w:cs="仿宋"/>
          <w:sz w:val="28"/>
          <w:szCs w:val="28"/>
          <w:u w:val="single"/>
        </w:rPr>
        <w:t xml:space="preserve">              </w:t>
      </w:r>
      <w:r>
        <w:rPr>
          <w:rFonts w:hint="eastAsia" w:ascii="仿宋" w:hAnsi="仿宋" w:eastAsia="仿宋" w:cs="仿宋"/>
          <w:sz w:val="28"/>
          <w:szCs w:val="28"/>
        </w:rPr>
        <w:t>送货至买方指定地点，经买方验收合格后，方能上装水泥储存罐内，送货产生费用由卖方承担。</w:t>
      </w:r>
    </w:p>
    <w:p>
      <w:pPr>
        <w:autoSpaceDE w:val="0"/>
        <w:autoSpaceDN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4、为保证产品质量数量及合作诚信，卖方应于中选后</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个工作日内签订合同，签订合同前须以对公转账形式交纳履约保证金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pPr>
        <w:pStyle w:val="2"/>
        <w:rPr>
          <w:rFonts w:ascii="仿宋" w:hAnsi="仿宋" w:eastAsia="仿宋" w:cs="仿宋"/>
          <w:sz w:val="28"/>
          <w:szCs w:val="28"/>
        </w:rPr>
      </w:pPr>
      <w:r>
        <w:rPr>
          <w:rFonts w:hint="eastAsia" w:ascii="仿宋" w:hAnsi="仿宋" w:eastAsia="仿宋" w:cs="仿宋"/>
          <w:sz w:val="28"/>
          <w:szCs w:val="28"/>
        </w:rPr>
        <w:t>5.货物运输至买方指定地点经验收合格签字确认视为完成交付，交付前货物毁损灭失风险由卖方承担。</w:t>
      </w:r>
    </w:p>
    <w:p>
      <w:pPr>
        <w:spacing w:line="560" w:lineRule="exact"/>
        <w:ind w:left="482"/>
        <w:rPr>
          <w:rFonts w:ascii="仿宋" w:hAnsi="仿宋" w:eastAsia="仿宋" w:cs="仿宋"/>
          <w:bCs/>
          <w:sz w:val="28"/>
          <w:szCs w:val="28"/>
        </w:rPr>
      </w:pPr>
      <w:r>
        <w:rPr>
          <w:rFonts w:hint="eastAsia" w:ascii="仿宋" w:hAnsi="仿宋" w:eastAsia="仿宋" w:cs="仿宋"/>
          <w:bCs/>
          <w:sz w:val="28"/>
          <w:szCs w:val="28"/>
        </w:rPr>
        <w:t>五、计量、合理损耗及包装</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1、散装（水泥）计量以买方过磅单为依据，作为送货结算凭证</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2、水泥包装符合国家标准GB9774-2010，包装袋不回收。袋装计量由买方或指定的提货代办人在装车现场点清数量或确认过磅数量，交货后发现数量不符，卖方不承担责任。</w:t>
      </w:r>
    </w:p>
    <w:p>
      <w:pPr>
        <w:spacing w:line="560" w:lineRule="exact"/>
        <w:ind w:left="482"/>
        <w:rPr>
          <w:rFonts w:ascii="仿宋" w:hAnsi="仿宋" w:eastAsia="仿宋" w:cs="仿宋"/>
          <w:bCs/>
          <w:sz w:val="28"/>
          <w:szCs w:val="28"/>
        </w:rPr>
      </w:pPr>
      <w:r>
        <w:rPr>
          <w:rFonts w:hint="eastAsia" w:ascii="仿宋" w:hAnsi="仿宋" w:eastAsia="仿宋" w:cs="仿宋"/>
          <w:bCs/>
          <w:sz w:val="28"/>
          <w:szCs w:val="28"/>
        </w:rPr>
        <w:t>六、产品验收</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1、买方对卖方同编号出厂水泥在卖方见证下予以检测，三天强度≥22MPa以上，28天强度≥42.5MPa。卖方应随货附产品合格证等文件。</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卖方对同编号出厂产品检验，双方共同取样、签封并保存90天的同编号水泥封存样（卖方签封人需卖方委托授权书）在90天内，如买方对水泥质量有疑问，双方应将共同认可的买方保存的封存样送省级或省级以上国家认可的水泥质量监督检验机构进行仲裁检验，如检验不合格，卖方将赔偿买方因产品质量问题造成责任及损失，并承担检验费用；如检验合格，检验费等费用由买方承担。</w:t>
      </w:r>
    </w:p>
    <w:p>
      <w:pPr>
        <w:spacing w:line="560" w:lineRule="exact"/>
        <w:ind w:left="482"/>
        <w:rPr>
          <w:rFonts w:ascii="仿宋" w:hAnsi="仿宋" w:eastAsia="仿宋" w:cs="仿宋"/>
          <w:b/>
          <w:bCs/>
          <w:sz w:val="28"/>
          <w:szCs w:val="28"/>
        </w:rPr>
      </w:pPr>
      <w:r>
        <w:rPr>
          <w:rFonts w:hint="eastAsia" w:ascii="仿宋" w:hAnsi="仿宋" w:eastAsia="仿宋" w:cs="仿宋"/>
          <w:bCs/>
          <w:sz w:val="28"/>
          <w:szCs w:val="28"/>
        </w:rPr>
        <w:t>七、供应方法</w:t>
      </w:r>
      <w:r>
        <w:rPr>
          <w:rFonts w:hint="eastAsia" w:ascii="仿宋" w:hAnsi="仿宋" w:eastAsia="仿宋" w:cs="仿宋"/>
          <w:b/>
          <w:bCs/>
          <w:sz w:val="28"/>
          <w:szCs w:val="28"/>
        </w:rPr>
        <w:tab/>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买方以书面、传真、电话等方式提前 1 天通知卖方销售部门供货数量，卖方确认后组织发货；在供货期间，如遇集中大批量采购，买方须提前3天以上书面申报需求量，经卖方确认后组织生产以保证供应。工厂设备的检修、故障及不可抗力因素（指受诸如战争、严重的火灾、台风、地震、洪水、政府节能减排以及任何其他不能预见、不能避免且不能克服的事件），卖方提前与买方协商解决。</w:t>
      </w:r>
    </w:p>
    <w:p>
      <w:pPr>
        <w:spacing w:line="560" w:lineRule="exact"/>
        <w:ind w:left="482"/>
        <w:rPr>
          <w:rFonts w:ascii="仿宋" w:hAnsi="仿宋" w:eastAsia="仿宋" w:cs="仿宋"/>
          <w:bCs/>
          <w:sz w:val="28"/>
          <w:szCs w:val="28"/>
        </w:rPr>
      </w:pPr>
      <w:r>
        <w:rPr>
          <w:rFonts w:hint="eastAsia" w:ascii="仿宋" w:hAnsi="仿宋" w:eastAsia="仿宋" w:cs="仿宋"/>
          <w:bCs/>
          <w:sz w:val="28"/>
          <w:szCs w:val="28"/>
        </w:rPr>
        <w:t>八、价格、结算、付款方式</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1、价格：买方按批次进行采购，按本次中选价格</w:t>
      </w:r>
      <w:r>
        <w:rPr>
          <w:rFonts w:hint="eastAsia" w:ascii="仿宋" w:hAnsi="仿宋" w:eastAsia="仿宋" w:cs="仿宋"/>
          <w:sz w:val="28"/>
          <w:szCs w:val="28"/>
          <w:u w:val="single"/>
        </w:rPr>
        <w:t xml:space="preserve">     </w:t>
      </w:r>
      <w:r>
        <w:rPr>
          <w:rFonts w:hint="eastAsia" w:ascii="仿宋" w:hAnsi="仿宋" w:eastAsia="仿宋" w:cs="仿宋"/>
          <w:sz w:val="28"/>
          <w:szCs w:val="28"/>
        </w:rPr>
        <w:t>元/吨进行结算（该价格包含运输、税收、装卸等全部费用）。</w:t>
      </w:r>
    </w:p>
    <w:p>
      <w:pPr>
        <w:tabs>
          <w:tab w:val="left" w:pos="4140"/>
        </w:tabs>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2、结算方式：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当月25日至31日为结算期，双方核对上月26日（含）至本月25日（含）期间用量（上月26日（含）至本月25日（含）为一个自然月）</w:t>
      </w:r>
      <w:r>
        <w:rPr>
          <w:rFonts w:hint="eastAsia" w:ascii="仿宋" w:hAnsi="仿宋" w:eastAsia="仿宋" w:cs="仿宋"/>
          <w:color w:val="000000"/>
          <w:sz w:val="28"/>
          <w:szCs w:val="28"/>
        </w:rPr>
        <w:t>，根据买方的材料计划单、买方认可的卖方报价文件及双方共同签认的凭证计算当批次实际收货数量并核对无误后双方在对账单上签字盖章，作为财务付款的依据。</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付款方式：账期为30天（第一个月的货款在第二个月的月末支付，第二个月的货款在第三个月的月末支付，以此类推)，结算时卖方依据买方过磅单上的供货数量据实结算，并提供符合买方要求的增值税发票，买方可以拒收不符合要求的增值税发票，由此产生的损失概由卖方负责。买方收到符合要求的发票后，通过银行转账方式支付到卖方账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4、履约保证金在本次合同履行无争议后30个工作日内无息退返卖方。         </w:t>
      </w:r>
    </w:p>
    <w:p>
      <w:pPr>
        <w:spacing w:line="560" w:lineRule="exact"/>
        <w:ind w:left="482"/>
        <w:rPr>
          <w:rFonts w:ascii="仿宋" w:hAnsi="仿宋" w:eastAsia="仿宋" w:cs="仿宋"/>
          <w:bCs/>
          <w:sz w:val="28"/>
          <w:szCs w:val="28"/>
        </w:rPr>
      </w:pPr>
      <w:r>
        <w:rPr>
          <w:rFonts w:hint="eastAsia" w:ascii="仿宋" w:hAnsi="仿宋" w:eastAsia="仿宋" w:cs="仿宋"/>
          <w:sz w:val="28"/>
          <w:szCs w:val="28"/>
        </w:rPr>
        <w:t xml:space="preserve"> </w:t>
      </w:r>
      <w:r>
        <w:rPr>
          <w:rFonts w:hint="eastAsia" w:ascii="仿宋" w:hAnsi="仿宋" w:eastAsia="仿宋" w:cs="仿宋"/>
          <w:bCs/>
          <w:sz w:val="28"/>
          <w:szCs w:val="28"/>
        </w:rPr>
        <w:t>九、商业机密及双方责任义务</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1、双方承诺在业务往来过程中相互保守商业机密。</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卖方在生产、运输及装卸货中发生的安全事故、交通事故、违章罚款等均由卖方承担。卖方运输驾驶员进入买方厂区必须服买方管理，遵守买方安全、卫生、秩序等规章制度，若有违反，接受买方处罚，买方有权拒收料。</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3、买方需提前1天通知卖方材料数量及送货时间。</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4、买方按合同约定支付货款。</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5、卖方产品必须符合质量要求，提供质检报告、产品合格证等相关质量凭证。因材料质量问题造成的责任及损失由卖方承担。</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6、本次合同为不可调价合同，本批次采购为合同签订固定单价，在供应期间不随水泥市场价格波动调整合同单价。</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7、卖方开具的增值税发票在送达买方后如发生丢失、损坏，卖方应按照税法规定和买方的要求及时向与税务部门衔接，作废后重新开具发票。</w:t>
      </w:r>
    </w:p>
    <w:p>
      <w:pPr>
        <w:spacing w:line="560" w:lineRule="exact"/>
        <w:ind w:left="482"/>
        <w:rPr>
          <w:rFonts w:ascii="仿宋" w:hAnsi="仿宋" w:eastAsia="仿宋" w:cs="仿宋"/>
          <w:b/>
          <w:bCs/>
          <w:sz w:val="28"/>
          <w:szCs w:val="28"/>
        </w:rPr>
      </w:pPr>
      <w:r>
        <w:rPr>
          <w:rFonts w:hint="eastAsia" w:ascii="仿宋" w:hAnsi="仿宋" w:eastAsia="仿宋" w:cs="仿宋"/>
          <w:bCs/>
          <w:sz w:val="28"/>
          <w:szCs w:val="28"/>
        </w:rPr>
        <w:t xml:space="preserve">十、违约责任及纠纷解决 </w:t>
      </w:r>
      <w:r>
        <w:rPr>
          <w:rFonts w:hint="eastAsia" w:ascii="仿宋" w:hAnsi="仿宋" w:eastAsia="仿宋" w:cs="仿宋"/>
          <w:b/>
          <w:bCs/>
          <w:sz w:val="28"/>
          <w:szCs w:val="28"/>
        </w:rPr>
        <w:t xml:space="preserve"> </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1、买方未按约定支付货款，按年息 10 % 支付卖方资金利息。</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卖方销售的产品发生质量问题时，由卖方承担因买方退货等所产生的全部费用，并承担由此给买方造成的责任与损失（包括但不限于第三方索赔费用）；买方拒收或退货的，卖方应在约定交货期内重新交付合格产品，否则应承担逾期交货责任。</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3、卖方逾期交货，视为违约，每逾期一日，按照本批次货物总额的 1 % 向买方支付违约金；如逾期超过3日及以上，买方有权解除合同，并由卖方承担由此给买方造成的责任与损失。</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4、卖方不得串通其他合作供应商进行报价，否则视为卖方违约，买方有权解除合同，并由卖方承担由此给买方造成的责任与损失。</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5、卖方应提供真实、有效、合格的增值税专用发票，如卖方提供虚假或虚开的增值税发票，买方有权拒收或退回，卖方应负责无偿更换，并承担相应法律责任。</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6、由于卖方所供产品中对商标、知识产权有侵权或未取得销售许可等，被有关部门查处，所有责任与损失均由卖方承担。</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7、若双方在履行本合同时产生争议，协商不成均可向买方所在地法院诉讼解决。</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本合同一式四份，双方各执两份，双方签字盖章后生效。在签订合同时双方交换营业执照、开户许可证、一般纳税人资格证（复印件盖印章）</w:t>
      </w:r>
    </w:p>
    <w:p>
      <w:pPr>
        <w:tabs>
          <w:tab w:val="left" w:pos="4140"/>
        </w:tabs>
        <w:spacing w:line="560" w:lineRule="exact"/>
        <w:ind w:firstLine="560" w:firstLineChars="200"/>
        <w:rPr>
          <w:rFonts w:ascii="仿宋" w:hAnsi="仿宋" w:eastAsia="仿宋" w:cs="仿宋"/>
          <w:sz w:val="28"/>
          <w:szCs w:val="28"/>
        </w:rPr>
      </w:pP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附件一：双方授权委托书</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附件二：廉政协议书</w:t>
      </w:r>
    </w:p>
    <w:p>
      <w:pPr>
        <w:spacing w:after="100" w:line="520" w:lineRule="exact"/>
        <w:contextualSpacing/>
        <w:rPr>
          <w:rFonts w:ascii="仿宋" w:hAnsi="仿宋" w:eastAsia="仿宋" w:cs="仿宋"/>
          <w:sz w:val="28"/>
          <w:szCs w:val="28"/>
        </w:rPr>
      </w:pP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甲   方                             乙  方 </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名称：合江县国瑞商贸有限公司        名称： </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地点： 临港街道张石坝村1社         地点：</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税号：91510522MA65LE0Y3C            税号：</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法定代表人或委托代理人签章：         法定代表人或委托代理人签章：</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联系电话：                          联系电话：</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开户行:泸州市商业银行合江县支行     开户行:</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账户：9200000259502309              账户：</w:t>
      </w:r>
    </w:p>
    <w:p>
      <w:pPr>
        <w:spacing w:after="100" w:line="520" w:lineRule="exact"/>
        <w:contextualSpacing/>
        <w:rPr>
          <w:rFonts w:ascii="仿宋" w:hAnsi="仿宋" w:eastAsia="仿宋" w:cs="仿宋"/>
          <w:sz w:val="28"/>
          <w:szCs w:val="28"/>
        </w:rPr>
      </w:pP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日期：2023年  月   日             日期; 2023年   月   日  </w:t>
      </w:r>
    </w:p>
    <w:p>
      <w:pPr>
        <w:spacing w:after="100" w:line="520" w:lineRule="exact"/>
        <w:contextualSpacing/>
        <w:rPr>
          <w:rFonts w:ascii="仿宋" w:hAnsi="仿宋" w:eastAsia="仿宋" w:cs="仿宋"/>
          <w:sz w:val="28"/>
          <w:szCs w:val="28"/>
        </w:rPr>
      </w:pPr>
    </w:p>
    <w:p>
      <w:pPr>
        <w:tabs>
          <w:tab w:val="left" w:pos="0"/>
        </w:tabs>
        <w:spacing w:after="319" w:afterLines="100"/>
        <w:jc w:val="center"/>
        <w:rPr>
          <w:rFonts w:ascii="仿宋" w:hAnsi="仿宋" w:eastAsia="仿宋" w:cs="仿宋"/>
          <w:sz w:val="28"/>
          <w:szCs w:val="28"/>
        </w:rPr>
      </w:pPr>
    </w:p>
    <w:p>
      <w:pPr>
        <w:tabs>
          <w:tab w:val="left" w:pos="0"/>
        </w:tabs>
        <w:spacing w:after="319" w:afterLines="100"/>
        <w:jc w:val="center"/>
        <w:rPr>
          <w:rFonts w:ascii="仿宋" w:hAnsi="仿宋" w:eastAsia="仿宋" w:cs="仿宋"/>
          <w:sz w:val="28"/>
          <w:szCs w:val="28"/>
        </w:rPr>
      </w:pPr>
    </w:p>
    <w:p>
      <w:pPr>
        <w:tabs>
          <w:tab w:val="left" w:pos="0"/>
        </w:tabs>
        <w:spacing w:after="319" w:afterLines="100"/>
        <w:jc w:val="center"/>
        <w:rPr>
          <w:rFonts w:ascii="仿宋" w:hAnsi="仿宋" w:eastAsia="仿宋" w:cs="仿宋"/>
          <w:sz w:val="28"/>
          <w:szCs w:val="28"/>
        </w:rPr>
      </w:pPr>
    </w:p>
    <w:p>
      <w:pPr>
        <w:tabs>
          <w:tab w:val="left" w:pos="0"/>
        </w:tabs>
        <w:spacing w:after="319" w:afterLines="100"/>
        <w:jc w:val="center"/>
        <w:rPr>
          <w:rFonts w:ascii="仿宋" w:hAnsi="仿宋" w:eastAsia="仿宋" w:cs="仿宋"/>
          <w:sz w:val="28"/>
          <w:szCs w:val="28"/>
        </w:rPr>
      </w:pPr>
    </w:p>
    <w:p>
      <w:pPr>
        <w:tabs>
          <w:tab w:val="left" w:pos="0"/>
        </w:tabs>
        <w:spacing w:after="319" w:afterLines="100"/>
        <w:ind w:firstLine="2800" w:firstLineChars="1000"/>
        <w:rPr>
          <w:rFonts w:ascii="仿宋" w:hAnsi="仿宋" w:eastAsia="仿宋" w:cs="仿宋"/>
          <w:sz w:val="28"/>
          <w:szCs w:val="28"/>
        </w:rPr>
      </w:pPr>
    </w:p>
    <w:p>
      <w:pPr>
        <w:tabs>
          <w:tab w:val="left" w:pos="0"/>
        </w:tabs>
        <w:spacing w:after="319" w:afterLines="100"/>
        <w:ind w:firstLine="2800" w:firstLineChars="1000"/>
        <w:rPr>
          <w:rFonts w:ascii="仿宋" w:hAnsi="仿宋" w:eastAsia="仿宋" w:cs="仿宋"/>
          <w:sz w:val="28"/>
          <w:szCs w:val="28"/>
        </w:rPr>
      </w:pPr>
      <w:r>
        <w:rPr>
          <w:rFonts w:hint="eastAsia" w:ascii="仿宋" w:hAnsi="仿宋" w:eastAsia="仿宋" w:cs="仿宋"/>
          <w:sz w:val="28"/>
          <w:szCs w:val="28"/>
        </w:rPr>
        <w:t>授权委托书</w:t>
      </w:r>
    </w:p>
    <w:p>
      <w:pPr>
        <w:tabs>
          <w:tab w:val="left" w:pos="0"/>
        </w:tabs>
        <w:spacing w:after="159" w:afterLines="50" w:line="560" w:lineRule="exac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pPr>
        <w:tabs>
          <w:tab w:val="left" w:pos="0"/>
        </w:tabs>
        <w:spacing w:line="560" w:lineRule="exact"/>
        <w:ind w:right="25" w:rightChars="12" w:firstLine="560" w:firstLineChars="200"/>
        <w:rPr>
          <w:rFonts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,负责与贵单位衔接水泥购销相关事宜，对其所签订的合同、函件、对账单、结算表等本公司予以认同。授权有效期为自  </w:t>
      </w:r>
      <w:r>
        <w:rPr>
          <w:rFonts w:hint="eastAsia" w:ascii="仿宋" w:hAnsi="仿宋" w:eastAsia="仿宋" w:cs="仿宋"/>
          <w:sz w:val="28"/>
          <w:szCs w:val="28"/>
          <w:u w:val="single"/>
        </w:rPr>
        <w:t>2023年  月  日至   年  月  日</w:t>
      </w:r>
      <w:r>
        <w:rPr>
          <w:rFonts w:hint="eastAsia" w:ascii="仿宋" w:hAnsi="仿宋" w:eastAsia="仿宋" w:cs="仿宋"/>
          <w:sz w:val="28"/>
          <w:szCs w:val="28"/>
        </w:rPr>
        <w:t>。如有变动，我单位将提前15天书面通知贵单位。</w:t>
      </w:r>
    </w:p>
    <w:p>
      <w:pPr>
        <w:pStyle w:val="38"/>
        <w:spacing w:after="319" w:afterLines="100" w:line="560" w:lineRule="exact"/>
        <w:ind w:firstLine="562" w:firstLineChars="200"/>
        <w:rPr>
          <w:rFonts w:ascii="仿宋" w:hAnsi="仿宋" w:eastAsia="仿宋" w:cs="仿宋"/>
          <w:b w:val="0"/>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389255</wp:posOffset>
                </wp:positionV>
                <wp:extent cx="5837555" cy="2286000"/>
                <wp:effectExtent l="4445" t="5080" r="6350" b="13970"/>
                <wp:wrapNone/>
                <wp:docPr id="32" name="矩形 32"/>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pPr>
                              <w:rPr>
                                <w:rFonts w:ascii="宋体" w:hAnsi="宋体" w:cs="宋体"/>
                                <w:sz w:val="24"/>
                              </w:rPr>
                            </w:pPr>
                          </w:p>
                          <w:p>
                            <w:pPr>
                              <w:rPr>
                                <w:rFonts w:ascii="宋体" w:hAnsi="宋体" w:cs="宋体"/>
                                <w:sz w:val="24"/>
                              </w:rPr>
                            </w:pPr>
                          </w:p>
                          <w:p>
                            <w:pPr>
                              <w:rPr>
                                <w:color w:val="FF0000"/>
                              </w:rPr>
                            </w:pPr>
                            <w:r>
                              <w:rPr>
                                <w:rFonts w:hint="eastAsia"/>
                                <w:color w:val="FF0000"/>
                              </w:rPr>
                              <w:t>授人身份证份证复印件粘贴</w:t>
                            </w:r>
                          </w:p>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1pt;margin-top:30.65pt;height:180pt;width:459.65pt;z-index:251659264;mso-width-relative:page;mso-height-relative:page;" fillcolor="#FFFFFF" filled="t" stroked="t" coordsize="21600,21600" o:gfxdata="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hqdTtgAAAAJAQAADwAAAAAAAAABACAAAAAiAAAA&#10;ZHJzL2Rvd25yZXYueG1sUEsBAhQAFAAAAAgAh07iQDmIP35AAgAAiwQAAA4AAAAAAAAAAQAgAAAA&#10;JwEAAGRycy9lMm9Eb2MueG1sUEsFBgAAAAAGAAYAWQEAANkFAAAAAA==&#10;">
                <v:fill on="t" focussize="0,0"/>
                <v:stroke color="#000000" miterlimit="8" joinstyle="miter"/>
                <v:imagedata o:title=""/>
                <o:lock v:ext="edit" aspectratio="f"/>
                <v:textbox>
                  <w:txbxContent>
                    <w:p>
                      <w:pPr>
                        <w:rPr>
                          <w:rFonts w:ascii="宋体" w:hAnsi="宋体" w:cs="宋体"/>
                          <w:sz w:val="24"/>
                        </w:rPr>
                      </w:pPr>
                    </w:p>
                    <w:p>
                      <w:pPr>
                        <w:rPr>
                          <w:rFonts w:ascii="宋体" w:hAnsi="宋体" w:cs="宋体"/>
                          <w:sz w:val="24"/>
                        </w:rPr>
                      </w:pPr>
                    </w:p>
                    <w:p>
                      <w:pPr>
                        <w:rPr>
                          <w:color w:val="FF0000"/>
                        </w:rPr>
                      </w:pPr>
                      <w:r>
                        <w:rPr>
                          <w:rFonts w:hint="eastAsia"/>
                          <w:color w:val="FF0000"/>
                        </w:rPr>
                        <w:t>授人身份证份证复印件粘贴</w:t>
                      </w:r>
                    </w:p>
                    <w:p/>
                  </w:txbxContent>
                </v:textbox>
              </v:rect>
            </w:pict>
          </mc:Fallback>
        </mc:AlternateContent>
      </w:r>
      <w:r>
        <w:rPr>
          <w:rFonts w:hint="eastAsia" w:ascii="仿宋" w:hAnsi="仿宋" w:eastAsia="仿宋" w:cs="仿宋"/>
          <w:b w:val="0"/>
          <w:sz w:val="28"/>
          <w:szCs w:val="28"/>
        </w:rPr>
        <w:t>此致</w:t>
      </w:r>
    </w:p>
    <w:p>
      <w:pPr>
        <w:ind w:firstLine="560" w:firstLineChars="200"/>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w:t>
      </w:r>
    </w:p>
    <w:p>
      <w:pPr>
        <w:tabs>
          <w:tab w:val="left" w:pos="0"/>
        </w:tabs>
        <w:spacing w:line="520" w:lineRule="exact"/>
        <w:ind w:right="25" w:rightChars="12"/>
        <w:rPr>
          <w:rFonts w:ascii="仿宋" w:hAnsi="仿宋" w:eastAsia="仿宋" w:cs="仿宋"/>
          <w:sz w:val="28"/>
          <w:szCs w:val="28"/>
        </w:rPr>
      </w:pPr>
    </w:p>
    <w:p>
      <w:pPr>
        <w:tabs>
          <w:tab w:val="left" w:pos="0"/>
        </w:tabs>
        <w:spacing w:line="520" w:lineRule="exact"/>
        <w:ind w:right="25" w:rightChars="12"/>
        <w:rPr>
          <w:rFonts w:ascii="仿宋" w:hAnsi="仿宋" w:eastAsia="仿宋" w:cs="仿宋"/>
          <w:sz w:val="28"/>
          <w:szCs w:val="28"/>
        </w:rPr>
      </w:pPr>
    </w:p>
    <w:p>
      <w:pPr>
        <w:tabs>
          <w:tab w:val="left" w:pos="0"/>
        </w:tabs>
        <w:spacing w:line="520" w:lineRule="exact"/>
        <w:ind w:right="25" w:rightChars="12"/>
        <w:rPr>
          <w:rFonts w:ascii="仿宋" w:hAnsi="仿宋" w:eastAsia="仿宋" w:cs="仿宋"/>
          <w:sz w:val="28"/>
          <w:szCs w:val="28"/>
        </w:rPr>
      </w:pPr>
    </w:p>
    <w:p>
      <w:pPr>
        <w:tabs>
          <w:tab w:val="left" w:pos="0"/>
        </w:tabs>
        <w:wordWrap w:val="0"/>
        <w:spacing w:line="520" w:lineRule="exact"/>
        <w:ind w:right="25" w:rightChars="12"/>
        <w:jc w:val="right"/>
        <w:rPr>
          <w:rFonts w:ascii="仿宋" w:hAnsi="仿宋" w:eastAsia="仿宋" w:cs="仿宋"/>
          <w:sz w:val="28"/>
          <w:szCs w:val="28"/>
        </w:rPr>
      </w:pPr>
      <w:r>
        <w:rPr>
          <w:rFonts w:hint="eastAsia" w:ascii="仿宋" w:hAnsi="仿宋" w:eastAsia="仿宋" w:cs="仿宋"/>
          <w:sz w:val="28"/>
          <w:szCs w:val="28"/>
        </w:rPr>
        <w:t>委托人：</w:t>
      </w:r>
      <w:r>
        <w:rPr>
          <w:rFonts w:hint="eastAsia" w:ascii="仿宋" w:hAnsi="仿宋" w:eastAsia="仿宋" w:cs="仿宋"/>
          <w:sz w:val="28"/>
          <w:szCs w:val="28"/>
          <w:u w:val="single"/>
        </w:rPr>
        <w:t xml:space="preserve">                     </w:t>
      </w:r>
    </w:p>
    <w:p>
      <w:pPr>
        <w:tabs>
          <w:tab w:val="left" w:pos="0"/>
        </w:tabs>
        <w:spacing w:line="520" w:lineRule="exact"/>
        <w:ind w:right="25" w:rightChars="12"/>
        <w:jc w:val="right"/>
        <w:rPr>
          <w:rFonts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2023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tabs>
          <w:tab w:val="left" w:pos="0"/>
        </w:tabs>
        <w:spacing w:after="319" w:afterLines="100"/>
        <w:jc w:val="cente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sz w:val="28"/>
          <w:szCs w:val="28"/>
        </w:rPr>
        <w:t>廉政协议书</w:t>
      </w:r>
    </w:p>
    <w:p>
      <w:pPr>
        <w:tabs>
          <w:tab w:val="left" w:pos="540"/>
        </w:tabs>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pPr>
        <w:tabs>
          <w:tab w:val="left" w:pos="540"/>
        </w:tabs>
        <w:spacing w:line="560" w:lineRule="exact"/>
        <w:ind w:firstLine="562" w:firstLineChars="200"/>
        <w:contextualSpacing/>
        <w:rPr>
          <w:rFonts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b/>
          <w:bCs/>
          <w:sz w:val="28"/>
          <w:szCs w:val="28"/>
        </w:rPr>
        <w:t>供应方</w:t>
      </w:r>
      <w:r>
        <w:rPr>
          <w:rFonts w:hint="eastAsia" w:ascii="仿宋" w:hAnsi="仿宋" w:eastAsia="仿宋" w:cs="仿宋"/>
          <w:b/>
          <w:sz w:val="28"/>
          <w:szCs w:val="28"/>
        </w:rPr>
        <w:t>承诺如下：</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1、不送采购方经办人礼品、现金、有价证券和支付凭证等。</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4、不给采购方经办人员提供借款。</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7、不和采购方经办人员暗箱操作，私下交易。</w:t>
      </w:r>
    </w:p>
    <w:p>
      <w:pPr>
        <w:spacing w:line="560" w:lineRule="exact"/>
        <w:ind w:firstLine="562" w:firstLineChars="200"/>
        <w:contextualSpacing/>
        <w:rPr>
          <w:rFonts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3、不接受供应方提供的不正当利益。</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4、不向供应方借款。</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6、不用公款或到供应方报销应由个人支付的费用。</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7、不利用职务上的便利从事有偿中介活动。</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9、不违规对外签订合同、协议或提供担保。</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pPr>
        <w:spacing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14、不酗酒、聚众滋事，不扰乱社会治安，不损害公司形象。</w:t>
      </w:r>
    </w:p>
    <w:p>
      <w:pPr>
        <w:spacing w:line="560" w:lineRule="exact"/>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三、以上条款买卖双方已悉知，并承诺在双方的业务操作过程中，严格遵照以上条款执行。如供应方违反协议约定，采购方有权终止双方买卖合同，并根据有关规定追究供应方相关责任；如采购方业务人员有不正当行为，供应方应及时举报（举报电话：0830 5783311）。</w:t>
      </w:r>
    </w:p>
    <w:p>
      <w:pPr>
        <w:spacing w:line="560" w:lineRule="exact"/>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四、本协议书一式肆份双方各执两份，由买卖双方签字盖章后生效。</w:t>
      </w:r>
    </w:p>
    <w:p>
      <w:pPr>
        <w:tabs>
          <w:tab w:val="left" w:pos="540"/>
        </w:tabs>
        <w:spacing w:before="159" w:beforeLines="50" w:after="319" w:afterLines="100" w:line="560" w:lineRule="exact"/>
        <w:contextualSpacing/>
        <w:jc w:val="left"/>
        <w:rPr>
          <w:rFonts w:ascii="仿宋" w:hAnsi="仿宋" w:eastAsia="仿宋" w:cs="仿宋"/>
          <w:sz w:val="28"/>
          <w:szCs w:val="28"/>
        </w:rPr>
      </w:pPr>
      <w:r>
        <w:rPr>
          <w:rFonts w:hint="eastAsia" w:ascii="仿宋" w:hAnsi="仿宋" w:eastAsia="仿宋" w:cs="仿宋"/>
          <w:sz w:val="28"/>
          <w:szCs w:val="28"/>
        </w:rPr>
        <w:t>采购方（盖章）                 供应方（盖章）：</w:t>
      </w:r>
    </w:p>
    <w:p>
      <w:pPr>
        <w:tabs>
          <w:tab w:val="left" w:pos="540"/>
        </w:tabs>
        <w:spacing w:before="159" w:beforeLines="50" w:after="319" w:afterLines="100" w:line="560" w:lineRule="exact"/>
        <w:contextualSpacing/>
        <w:jc w:val="left"/>
        <w:rPr>
          <w:rFonts w:ascii="仿宋" w:hAnsi="仿宋" w:eastAsia="仿宋" w:cs="仿宋"/>
          <w:sz w:val="28"/>
          <w:szCs w:val="28"/>
        </w:rPr>
      </w:pPr>
    </w:p>
    <w:p>
      <w:pPr>
        <w:tabs>
          <w:tab w:val="left" w:pos="540"/>
        </w:tabs>
        <w:spacing w:before="159" w:beforeLines="50" w:after="319" w:afterLines="100" w:line="560" w:lineRule="exact"/>
        <w:contextualSpacing/>
        <w:jc w:val="left"/>
        <w:rPr>
          <w:rFonts w:ascii="仿宋" w:hAnsi="仿宋" w:eastAsia="仿宋" w:cs="仿宋"/>
          <w:sz w:val="28"/>
          <w:szCs w:val="28"/>
        </w:rPr>
      </w:pPr>
      <w:r>
        <w:rPr>
          <w:rFonts w:hint="eastAsia" w:ascii="仿宋" w:hAnsi="仿宋" w:eastAsia="仿宋" w:cs="仿宋"/>
          <w:sz w:val="28"/>
          <w:szCs w:val="28"/>
        </w:rPr>
        <w:t>法定代表人或授权代表：         法定代表人或授权代表：</w:t>
      </w:r>
    </w:p>
    <w:p>
      <w:pPr>
        <w:tabs>
          <w:tab w:val="left" w:pos="540"/>
        </w:tabs>
        <w:spacing w:before="159" w:beforeLines="50" w:after="319" w:afterLines="100" w:line="560" w:lineRule="exact"/>
        <w:contextualSpacing/>
        <w:jc w:val="left"/>
        <w:rPr>
          <w:rFonts w:ascii="仿宋" w:hAnsi="仿宋" w:eastAsia="仿宋" w:cs="仿宋"/>
          <w:sz w:val="28"/>
          <w:szCs w:val="28"/>
        </w:rPr>
      </w:pPr>
    </w:p>
    <w:p>
      <w:pPr>
        <w:spacing w:before="159" w:beforeLines="50" w:after="159" w:afterLines="50" w:line="440" w:lineRule="exact"/>
        <w:jc w:val="left"/>
        <w:textAlignment w:val="baseline"/>
        <w:rPr>
          <w:rFonts w:ascii="仿宋" w:hAnsi="仿宋" w:eastAsia="仿宋"/>
          <w:b/>
          <w:szCs w:val="21"/>
        </w:rPr>
      </w:pPr>
      <w:r>
        <w:rPr>
          <w:rFonts w:hint="eastAsia" w:ascii="仿宋" w:hAnsi="仿宋" w:eastAsia="仿宋" w:cs="仿宋"/>
          <w:sz w:val="28"/>
          <w:szCs w:val="28"/>
        </w:rPr>
        <w:t>日期：2023年  月   日         日期：2023年  月   日</w:t>
      </w:r>
    </w:p>
    <w:p>
      <w:pPr>
        <w:spacing w:before="159" w:beforeLines="50" w:after="159" w:afterLines="50" w:line="440" w:lineRule="exact"/>
        <w:jc w:val="left"/>
        <w:textAlignment w:val="baseline"/>
        <w:rPr>
          <w:rFonts w:ascii="仿宋" w:hAnsi="仿宋" w:eastAsia="仿宋"/>
          <w:b/>
          <w:szCs w:val="21"/>
        </w:rPr>
      </w:pPr>
    </w:p>
    <w:p>
      <w:pPr>
        <w:spacing w:before="159" w:beforeLines="50" w:after="159" w:afterLines="50" w:line="440" w:lineRule="exact"/>
        <w:jc w:val="left"/>
        <w:textAlignment w:val="baseline"/>
        <w:rPr>
          <w:rFonts w:ascii="仿宋" w:hAnsi="仿宋" w:eastAsia="仿宋"/>
          <w:b/>
          <w:szCs w:val="21"/>
        </w:rPr>
      </w:pPr>
    </w:p>
    <w:p>
      <w:pPr>
        <w:autoSpaceDE w:val="0"/>
        <w:autoSpaceDN w:val="0"/>
        <w:adjustRightInd w:val="0"/>
        <w:spacing w:line="540" w:lineRule="exact"/>
        <w:ind w:firstLine="602" w:firstLineChars="200"/>
        <w:rPr>
          <w:rFonts w:hAnsi="Tms Rmn"/>
          <w:b/>
          <w:sz w:val="30"/>
          <w:szCs w:val="30"/>
        </w:rPr>
      </w:pPr>
    </w:p>
    <w:p>
      <w:pPr>
        <w:autoSpaceDE w:val="0"/>
        <w:autoSpaceDN w:val="0"/>
        <w:adjustRightInd w:val="0"/>
        <w:spacing w:line="540" w:lineRule="exact"/>
        <w:ind w:firstLine="602" w:firstLineChars="200"/>
        <w:rPr>
          <w:rFonts w:hAnsi="Tms Rmn"/>
          <w:b/>
          <w:sz w:val="30"/>
          <w:szCs w:val="30"/>
        </w:rPr>
      </w:pPr>
    </w:p>
    <w:p>
      <w:pPr>
        <w:autoSpaceDE w:val="0"/>
        <w:autoSpaceDN w:val="0"/>
        <w:adjustRightInd w:val="0"/>
        <w:spacing w:line="540" w:lineRule="exact"/>
        <w:ind w:firstLine="602" w:firstLineChars="200"/>
        <w:rPr>
          <w:rFonts w:hAnsi="Tms Rmn"/>
          <w:b/>
          <w:sz w:val="30"/>
          <w:szCs w:val="30"/>
        </w:rPr>
      </w:pPr>
    </w:p>
    <w:p>
      <w:pPr>
        <w:autoSpaceDE w:val="0"/>
        <w:autoSpaceDN w:val="0"/>
        <w:adjustRightInd w:val="0"/>
        <w:spacing w:line="540" w:lineRule="exact"/>
        <w:ind w:firstLine="602" w:firstLineChars="200"/>
        <w:rPr>
          <w:rFonts w:hAnsi="Tms Rmn"/>
          <w:b/>
          <w:sz w:val="30"/>
          <w:szCs w:val="30"/>
        </w:rPr>
      </w:pPr>
    </w:p>
    <w:p>
      <w:pPr>
        <w:autoSpaceDE w:val="0"/>
        <w:autoSpaceDN w:val="0"/>
        <w:adjustRightInd w:val="0"/>
        <w:spacing w:line="540" w:lineRule="exact"/>
        <w:ind w:firstLine="602" w:firstLineChars="200"/>
        <w:rPr>
          <w:rFonts w:hAnsi="Tms Rmn"/>
          <w:b/>
          <w:sz w:val="30"/>
          <w:szCs w:val="30"/>
        </w:rPr>
      </w:pPr>
    </w:p>
    <w:p>
      <w:pPr>
        <w:autoSpaceDE w:val="0"/>
        <w:autoSpaceDN w:val="0"/>
        <w:adjustRightInd w:val="0"/>
        <w:spacing w:line="540" w:lineRule="exact"/>
        <w:ind w:firstLine="602" w:firstLineChars="200"/>
        <w:rPr>
          <w:rFonts w:hAnsi="Tms Rmn"/>
          <w:b/>
          <w:sz w:val="30"/>
          <w:szCs w:val="30"/>
        </w:rPr>
      </w:pPr>
    </w:p>
    <w:p>
      <w:pPr>
        <w:rPr>
          <w:rStyle w:val="33"/>
          <w:rFonts w:hint="eastAsia" w:ascii="Times New Roman" w:hAnsi="Times New Roman" w:eastAsia="宋体" w:cs="Times New Roman"/>
          <w:sz w:val="32"/>
          <w:szCs w:val="32"/>
        </w:rPr>
        <w:sectPr>
          <w:pgSz w:w="11906" w:h="16838"/>
          <w:pgMar w:top="1440" w:right="1803" w:bottom="1440" w:left="1803" w:header="851" w:footer="992" w:gutter="0"/>
          <w:pgNumType w:start="0"/>
          <w:cols w:space="0" w:num="1"/>
          <w:docGrid w:type="lines" w:linePitch="319" w:charSpace="0"/>
        </w:sectPr>
      </w:pPr>
    </w:p>
    <w:p>
      <w:pPr>
        <w:numPr>
          <w:ilvl w:val="0"/>
          <w:numId w:val="2"/>
        </w:numPr>
        <w:jc w:val="center"/>
        <w:rPr>
          <w:rStyle w:val="33"/>
          <w:rFonts w:ascii="Times New Roman" w:hAnsi="Times New Roman" w:eastAsia="宋体" w:cs="Times New Roman"/>
          <w:sz w:val="32"/>
          <w:szCs w:val="32"/>
        </w:rPr>
      </w:pPr>
      <w:r>
        <w:rPr>
          <w:rStyle w:val="33"/>
          <w:rFonts w:hint="eastAsia" w:ascii="Times New Roman" w:hAnsi="Times New Roman" w:eastAsia="宋体" w:cs="Times New Roman"/>
          <w:sz w:val="32"/>
          <w:szCs w:val="32"/>
        </w:rPr>
        <w:t>采购清单</w:t>
      </w:r>
    </w:p>
    <w:tbl>
      <w:tblPr>
        <w:tblStyle w:val="18"/>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771"/>
        <w:gridCol w:w="1268"/>
        <w:gridCol w:w="1142"/>
        <w:gridCol w:w="1291"/>
        <w:gridCol w:w="1415"/>
        <w:gridCol w:w="1257"/>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078"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序号</w:t>
            </w:r>
          </w:p>
        </w:tc>
        <w:tc>
          <w:tcPr>
            <w:tcW w:w="771"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名称</w:t>
            </w:r>
          </w:p>
        </w:tc>
        <w:tc>
          <w:tcPr>
            <w:tcW w:w="1268"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型号/</w:t>
            </w:r>
          </w:p>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规格/</w:t>
            </w:r>
          </w:p>
          <w:p>
            <w:pPr>
              <w:widowControl/>
              <w:jc w:val="center"/>
              <w:textAlignment w:val="center"/>
              <w:rPr>
                <w:rFonts w:ascii="仿宋" w:hAnsi="仿宋" w:eastAsia="仿宋" w:cs="仿宋"/>
                <w:sz w:val="24"/>
              </w:rPr>
            </w:pPr>
            <w:r>
              <w:rPr>
                <w:rFonts w:hint="eastAsia" w:ascii="仿宋" w:hAnsi="仿宋" w:eastAsia="仿宋" w:cs="仿宋"/>
                <w:kern w:val="0"/>
                <w:sz w:val="24"/>
                <w:lang w:bidi="ar"/>
              </w:rPr>
              <w:t>特征描述/参数</w:t>
            </w:r>
          </w:p>
        </w:tc>
        <w:tc>
          <w:tcPr>
            <w:tcW w:w="1142"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数量</w:t>
            </w:r>
          </w:p>
        </w:tc>
        <w:tc>
          <w:tcPr>
            <w:tcW w:w="1291"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综合单价（元）</w:t>
            </w:r>
          </w:p>
        </w:tc>
        <w:tc>
          <w:tcPr>
            <w:tcW w:w="1415"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合计</w:t>
            </w:r>
          </w:p>
          <w:p>
            <w:pPr>
              <w:widowControl/>
              <w:jc w:val="center"/>
              <w:textAlignment w:val="center"/>
              <w:rPr>
                <w:rFonts w:ascii="仿宋" w:hAnsi="仿宋" w:eastAsia="仿宋" w:cs="仿宋"/>
                <w:sz w:val="24"/>
              </w:rPr>
            </w:pPr>
            <w:r>
              <w:rPr>
                <w:rFonts w:hint="eastAsia" w:ascii="仿宋" w:hAnsi="仿宋" w:eastAsia="仿宋" w:cs="仿宋"/>
                <w:kern w:val="0"/>
                <w:sz w:val="24"/>
                <w:lang w:bidi="ar"/>
              </w:rPr>
              <w:t>（元）</w:t>
            </w:r>
          </w:p>
        </w:tc>
        <w:tc>
          <w:tcPr>
            <w:tcW w:w="1257" w:type="dxa"/>
            <w:vAlign w:val="center"/>
          </w:tcPr>
          <w:p>
            <w:pPr>
              <w:widowControl/>
              <w:jc w:val="center"/>
              <w:textAlignment w:val="center"/>
              <w:rPr>
                <w:rFonts w:ascii="仿宋" w:hAnsi="仿宋" w:eastAsia="仿宋" w:cs="仿宋"/>
                <w:sz w:val="24"/>
              </w:rPr>
            </w:pPr>
          </w:p>
          <w:p>
            <w:pPr>
              <w:widowControl/>
              <w:jc w:val="center"/>
              <w:textAlignment w:val="center"/>
              <w:rPr>
                <w:rFonts w:ascii="仿宋" w:hAnsi="仿宋" w:eastAsia="仿宋" w:cs="仿宋"/>
                <w:sz w:val="24"/>
              </w:rPr>
            </w:pPr>
            <w:r>
              <w:rPr>
                <w:rFonts w:hint="eastAsia" w:ascii="仿宋" w:hAnsi="仿宋" w:eastAsia="仿宋" w:cs="仿宋"/>
                <w:sz w:val="24"/>
              </w:rPr>
              <w:t>开票税率要求</w:t>
            </w:r>
          </w:p>
        </w:tc>
        <w:tc>
          <w:tcPr>
            <w:tcW w:w="1432" w:type="dxa"/>
            <w:vAlign w:val="center"/>
          </w:tcPr>
          <w:p>
            <w:pPr>
              <w:widowControl/>
              <w:jc w:val="center"/>
              <w:textAlignment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078" w:type="dxa"/>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3</w:t>
            </w:r>
          </w:p>
        </w:tc>
        <w:tc>
          <w:tcPr>
            <w:tcW w:w="771" w:type="dxa"/>
          </w:tcPr>
          <w:p>
            <w:pPr>
              <w:tabs>
                <w:tab w:val="left" w:pos="13270"/>
              </w:tabs>
              <w:jc w:val="center"/>
              <w:rPr>
                <w:rFonts w:ascii="仿宋" w:hAnsi="仿宋" w:eastAsia="仿宋" w:cs="仿宋"/>
                <w:sz w:val="24"/>
              </w:rPr>
            </w:pPr>
            <w:r>
              <w:rPr>
                <w:rFonts w:hint="eastAsia" w:ascii="仿宋" w:hAnsi="仿宋" w:eastAsia="仿宋" w:cs="仿宋"/>
                <w:sz w:val="24"/>
              </w:rPr>
              <w:t>水泥</w:t>
            </w:r>
          </w:p>
        </w:tc>
        <w:tc>
          <w:tcPr>
            <w:tcW w:w="1268" w:type="dxa"/>
          </w:tcPr>
          <w:p>
            <w:pPr>
              <w:tabs>
                <w:tab w:val="left" w:pos="13270"/>
              </w:tabs>
              <w:jc w:val="center"/>
              <w:rPr>
                <w:rFonts w:ascii="仿宋" w:hAnsi="仿宋" w:eastAsia="仿宋" w:cs="仿宋"/>
                <w:sz w:val="24"/>
              </w:rPr>
            </w:pPr>
            <w:r>
              <w:rPr>
                <w:rFonts w:hint="eastAsia" w:ascii="仿宋" w:hAnsi="仿宋" w:eastAsia="仿宋" w:cs="仿宋"/>
                <w:sz w:val="24"/>
              </w:rPr>
              <w:t>PO42.5R</w:t>
            </w:r>
          </w:p>
        </w:tc>
        <w:tc>
          <w:tcPr>
            <w:tcW w:w="1142" w:type="dxa"/>
          </w:tcPr>
          <w:p>
            <w:pPr>
              <w:tabs>
                <w:tab w:val="left" w:pos="13270"/>
              </w:tabs>
              <w:jc w:val="center"/>
              <w:rPr>
                <w:rFonts w:ascii="仿宋" w:hAnsi="仿宋" w:eastAsia="仿宋" w:cs="仿宋"/>
                <w:sz w:val="24"/>
              </w:rPr>
            </w:pPr>
            <w:r>
              <w:rPr>
                <w:rFonts w:hint="eastAsia" w:ascii="仿宋" w:hAnsi="仿宋" w:eastAsia="仿宋" w:cs="仿宋"/>
                <w:sz w:val="24"/>
              </w:rPr>
              <w:t>2000吨</w:t>
            </w:r>
          </w:p>
        </w:tc>
        <w:tc>
          <w:tcPr>
            <w:tcW w:w="1291" w:type="dxa"/>
          </w:tcPr>
          <w:p>
            <w:pPr>
              <w:tabs>
                <w:tab w:val="left" w:pos="13270"/>
              </w:tabs>
              <w:jc w:val="center"/>
              <w:rPr>
                <w:rFonts w:ascii="仿宋" w:hAnsi="仿宋" w:eastAsia="仿宋" w:cs="仿宋"/>
                <w:sz w:val="24"/>
              </w:rPr>
            </w:pPr>
            <w:r>
              <w:rPr>
                <w:rFonts w:hint="eastAsia" w:ascii="仿宋" w:hAnsi="仿宋" w:eastAsia="仿宋" w:cs="仿宋"/>
                <w:sz w:val="24"/>
              </w:rPr>
              <w:t>390</w:t>
            </w:r>
          </w:p>
        </w:tc>
        <w:tc>
          <w:tcPr>
            <w:tcW w:w="1415" w:type="dxa"/>
          </w:tcPr>
          <w:p>
            <w:pPr>
              <w:tabs>
                <w:tab w:val="left" w:pos="13270"/>
              </w:tabs>
              <w:jc w:val="center"/>
              <w:rPr>
                <w:rFonts w:ascii="仿宋" w:hAnsi="仿宋" w:eastAsia="仿宋" w:cs="仿宋"/>
                <w:sz w:val="24"/>
              </w:rPr>
            </w:pPr>
            <w:r>
              <w:rPr>
                <w:rFonts w:hint="eastAsia" w:ascii="仿宋" w:hAnsi="仿宋" w:eastAsia="仿宋" w:cs="仿宋"/>
                <w:sz w:val="24"/>
              </w:rPr>
              <w:t>780000</w:t>
            </w:r>
          </w:p>
        </w:tc>
        <w:tc>
          <w:tcPr>
            <w:tcW w:w="1257" w:type="dxa"/>
          </w:tcPr>
          <w:p>
            <w:pPr>
              <w:tabs>
                <w:tab w:val="left" w:pos="13270"/>
              </w:tabs>
              <w:jc w:val="center"/>
              <w:rPr>
                <w:rFonts w:ascii="仿宋" w:hAnsi="仿宋" w:eastAsia="仿宋" w:cs="仿宋"/>
                <w:sz w:val="24"/>
              </w:rPr>
            </w:pPr>
            <w:r>
              <w:rPr>
                <w:rFonts w:hint="eastAsia" w:ascii="仿宋" w:hAnsi="仿宋" w:eastAsia="仿宋" w:cs="仿宋"/>
                <w:sz w:val="24"/>
              </w:rPr>
              <w:t>13%+9%</w:t>
            </w:r>
          </w:p>
        </w:tc>
        <w:tc>
          <w:tcPr>
            <w:tcW w:w="1432" w:type="dxa"/>
          </w:tcPr>
          <w:p>
            <w:pPr>
              <w:tabs>
                <w:tab w:val="left" w:pos="13270"/>
              </w:tabs>
              <w:jc w:val="center"/>
              <w:rPr>
                <w:sz w:val="24"/>
              </w:rPr>
            </w:pPr>
            <w:r>
              <w:rPr>
                <w:rFonts w:hint="eastAsia" w:ascii="仿宋" w:hAnsi="仿宋" w:eastAsia="仿宋" w:cs="仿宋"/>
                <w:sz w:val="24"/>
              </w:rPr>
              <w:t>可采用两票制，水泥票率13%，运费票率9%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078" w:type="dxa"/>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合计</w:t>
            </w:r>
          </w:p>
        </w:tc>
        <w:tc>
          <w:tcPr>
            <w:tcW w:w="771" w:type="dxa"/>
          </w:tcPr>
          <w:p>
            <w:pPr>
              <w:tabs>
                <w:tab w:val="left" w:pos="13270"/>
              </w:tabs>
              <w:jc w:val="center"/>
              <w:rPr>
                <w:rFonts w:ascii="仿宋" w:hAnsi="仿宋" w:eastAsia="仿宋" w:cs="仿宋"/>
                <w:sz w:val="24"/>
              </w:rPr>
            </w:pPr>
          </w:p>
        </w:tc>
        <w:tc>
          <w:tcPr>
            <w:tcW w:w="1268" w:type="dxa"/>
          </w:tcPr>
          <w:p>
            <w:pPr>
              <w:tabs>
                <w:tab w:val="left" w:pos="13270"/>
              </w:tabs>
              <w:jc w:val="center"/>
              <w:rPr>
                <w:rFonts w:ascii="仿宋" w:hAnsi="仿宋" w:eastAsia="仿宋" w:cs="仿宋"/>
                <w:sz w:val="24"/>
              </w:rPr>
            </w:pPr>
          </w:p>
        </w:tc>
        <w:tc>
          <w:tcPr>
            <w:tcW w:w="1142" w:type="dxa"/>
          </w:tcPr>
          <w:p>
            <w:pPr>
              <w:tabs>
                <w:tab w:val="left" w:pos="13270"/>
              </w:tabs>
              <w:jc w:val="center"/>
              <w:rPr>
                <w:rFonts w:ascii="仿宋" w:hAnsi="仿宋" w:eastAsia="仿宋" w:cs="仿宋"/>
                <w:sz w:val="24"/>
              </w:rPr>
            </w:pPr>
          </w:p>
        </w:tc>
        <w:tc>
          <w:tcPr>
            <w:tcW w:w="1291" w:type="dxa"/>
          </w:tcPr>
          <w:p>
            <w:pPr>
              <w:tabs>
                <w:tab w:val="left" w:pos="13270"/>
              </w:tabs>
              <w:jc w:val="center"/>
              <w:rPr>
                <w:rFonts w:ascii="仿宋" w:hAnsi="仿宋" w:eastAsia="仿宋" w:cs="仿宋"/>
                <w:sz w:val="24"/>
              </w:rPr>
            </w:pPr>
          </w:p>
        </w:tc>
        <w:tc>
          <w:tcPr>
            <w:tcW w:w="1415" w:type="dxa"/>
          </w:tcPr>
          <w:p>
            <w:pPr>
              <w:tabs>
                <w:tab w:val="left" w:pos="13270"/>
              </w:tabs>
              <w:jc w:val="center"/>
              <w:rPr>
                <w:rFonts w:ascii="仿宋" w:hAnsi="仿宋" w:eastAsia="仿宋" w:cs="仿宋"/>
                <w:sz w:val="24"/>
              </w:rPr>
            </w:pPr>
          </w:p>
        </w:tc>
        <w:tc>
          <w:tcPr>
            <w:tcW w:w="1257" w:type="dxa"/>
          </w:tcPr>
          <w:p>
            <w:pPr>
              <w:tabs>
                <w:tab w:val="left" w:pos="13270"/>
              </w:tabs>
              <w:jc w:val="center"/>
              <w:rPr>
                <w:rFonts w:ascii="仿宋" w:hAnsi="仿宋" w:eastAsia="仿宋" w:cs="仿宋"/>
                <w:sz w:val="24"/>
              </w:rPr>
            </w:pPr>
          </w:p>
        </w:tc>
        <w:tc>
          <w:tcPr>
            <w:tcW w:w="1432" w:type="dxa"/>
          </w:tcPr>
          <w:p>
            <w:pPr>
              <w:tabs>
                <w:tab w:val="left" w:pos="13270"/>
              </w:tabs>
              <w:jc w:val="center"/>
              <w:rPr>
                <w:sz w:val="24"/>
              </w:rPr>
            </w:pPr>
          </w:p>
        </w:tc>
      </w:tr>
    </w:tbl>
    <w:p>
      <w:pPr>
        <w:autoSpaceDE w:val="0"/>
        <w:autoSpaceDN w:val="0"/>
        <w:adjustRightInd w:val="0"/>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注：1.各投标人报价一览表的各单项综合单价不得超过采购清单各单项的综合单价。</w:t>
      </w:r>
    </w:p>
    <w:p>
      <w:pPr>
        <w:autoSpaceDE w:val="0"/>
        <w:autoSpaceDN w:val="0"/>
        <w:adjustRightInd w:val="0"/>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2.报价单上的“单价”和“总价”包含但不限于管理、运输、风险、保险、利润、税金、等费用。</w:t>
      </w:r>
    </w:p>
    <w:p>
      <w:pPr>
        <w:pStyle w:val="7"/>
        <w:spacing w:before="20" w:after="20" w:line="400" w:lineRule="atLeast"/>
        <w:ind w:firstLine="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3.本批次水泥采购为固定单价，供应期间不随水泥市场价格波动调整合同单价。</w:t>
      </w:r>
    </w:p>
    <w:p>
      <w:pPr>
        <w:pStyle w:val="2"/>
      </w:pPr>
    </w:p>
    <w:p>
      <w:pPr>
        <w:pStyle w:val="3"/>
        <w:spacing w:before="159" w:after="159"/>
      </w:pPr>
    </w:p>
    <w:p>
      <w:pPr>
        <w:sectPr>
          <w:pgSz w:w="16838" w:h="11906" w:orient="landscape"/>
          <w:pgMar w:top="1803" w:right="1440" w:bottom="1803" w:left="1440" w:header="851" w:footer="992" w:gutter="0"/>
          <w:pgNumType w:start="0"/>
          <w:cols w:space="0" w:num="1"/>
          <w:docGrid w:type="lines" w:linePitch="319" w:charSpace="0"/>
        </w:sectPr>
      </w:pPr>
    </w:p>
    <w:p>
      <w:pPr>
        <w:jc w:val="center"/>
      </w:pPr>
      <w:bookmarkStart w:id="15" w:name="_Toc31016"/>
      <w:bookmarkStart w:id="16" w:name="_Toc21698"/>
      <w:r>
        <w:rPr>
          <w:rStyle w:val="33"/>
          <w:rFonts w:hint="eastAsia"/>
          <w:sz w:val="32"/>
          <w:szCs w:val="32"/>
        </w:rPr>
        <w:t>第六章 响应文件格式</w:t>
      </w:r>
      <w:bookmarkEnd w:id="15"/>
      <w:bookmarkEnd w:id="16"/>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三、供应商基本情况表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六、承诺函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3" w:type="default"/>
          <w:pgSz w:w="11906" w:h="16838"/>
          <w:pgMar w:top="1440" w:right="1800" w:bottom="1440" w:left="1800" w:header="851" w:footer="992" w:gutter="0"/>
          <w:pgNumType w:start="0"/>
          <w:cols w:space="0" w:num="1"/>
          <w:docGrid w:type="lines" w:linePitch="312" w:charSpace="0"/>
        </w:sectPr>
      </w:pPr>
    </w:p>
    <w:p>
      <w:pPr>
        <w:numPr>
          <w:ilvl w:val="0"/>
          <w:numId w:val="3"/>
        </w:numPr>
        <w:jc w:val="center"/>
        <w:rPr>
          <w:rFonts w:ascii="宋体" w:hAnsi="宋体" w:eastAsia="宋体" w:cs="宋体"/>
          <w:b/>
          <w:bCs/>
          <w:sz w:val="24"/>
          <w:szCs w:val="24"/>
        </w:rPr>
      </w:pPr>
      <w:r>
        <w:rPr>
          <w:rFonts w:hint="eastAsia" w:ascii="宋体" w:hAnsi="宋体" w:eastAsia="宋体" w:cs="宋体"/>
          <w:b/>
          <w:bCs/>
          <w:sz w:val="24"/>
          <w:szCs w:val="24"/>
        </w:rPr>
        <w:t>报价一览表</w:t>
      </w:r>
    </w:p>
    <w:p>
      <w:pPr>
        <w:autoSpaceDE w:val="0"/>
        <w:autoSpaceDN w:val="0"/>
        <w:adjustRightInd w:val="0"/>
        <w:spacing w:line="400" w:lineRule="exact"/>
        <w:jc w:val="left"/>
        <w:rPr>
          <w:rFonts w:asciiTheme="minorEastAsia" w:hAnsiTheme="minorEastAsia" w:cstheme="minorEastAsia"/>
          <w:kern w:val="0"/>
          <w:szCs w:val="21"/>
        </w:rPr>
      </w:pPr>
    </w:p>
    <w:tbl>
      <w:tblPr>
        <w:tblStyle w:val="18"/>
        <w:tblW w:w="10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771"/>
        <w:gridCol w:w="1268"/>
        <w:gridCol w:w="1142"/>
        <w:gridCol w:w="1291"/>
        <w:gridCol w:w="1291"/>
        <w:gridCol w:w="1415"/>
        <w:gridCol w:w="1257"/>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078"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序号</w:t>
            </w:r>
          </w:p>
        </w:tc>
        <w:tc>
          <w:tcPr>
            <w:tcW w:w="771"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名称</w:t>
            </w:r>
          </w:p>
        </w:tc>
        <w:tc>
          <w:tcPr>
            <w:tcW w:w="1268"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型号/</w:t>
            </w:r>
          </w:p>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规格/</w:t>
            </w:r>
          </w:p>
          <w:p>
            <w:pPr>
              <w:widowControl/>
              <w:jc w:val="center"/>
              <w:textAlignment w:val="center"/>
              <w:rPr>
                <w:rFonts w:ascii="仿宋" w:hAnsi="仿宋" w:eastAsia="仿宋" w:cs="仿宋"/>
                <w:sz w:val="24"/>
              </w:rPr>
            </w:pPr>
            <w:r>
              <w:rPr>
                <w:rFonts w:hint="eastAsia" w:ascii="仿宋" w:hAnsi="仿宋" w:eastAsia="仿宋" w:cs="仿宋"/>
                <w:kern w:val="0"/>
                <w:sz w:val="24"/>
                <w:lang w:bidi="ar"/>
              </w:rPr>
              <w:t>特征描述/参数</w:t>
            </w:r>
          </w:p>
        </w:tc>
        <w:tc>
          <w:tcPr>
            <w:tcW w:w="1142"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数量</w:t>
            </w:r>
          </w:p>
        </w:tc>
        <w:tc>
          <w:tcPr>
            <w:tcW w:w="1291"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品牌</w:t>
            </w:r>
          </w:p>
        </w:tc>
        <w:tc>
          <w:tcPr>
            <w:tcW w:w="1291" w:type="dxa"/>
            <w:vAlign w:val="center"/>
          </w:tcPr>
          <w:p>
            <w:pPr>
              <w:widowControl/>
              <w:jc w:val="center"/>
              <w:textAlignment w:val="center"/>
              <w:rPr>
                <w:rFonts w:ascii="仿宋" w:hAnsi="仿宋" w:eastAsia="仿宋" w:cs="仿宋"/>
                <w:sz w:val="24"/>
              </w:rPr>
            </w:pPr>
            <w:r>
              <w:rPr>
                <w:rFonts w:hint="eastAsia" w:ascii="仿宋" w:hAnsi="仿宋" w:eastAsia="仿宋" w:cs="仿宋"/>
                <w:kern w:val="0"/>
                <w:sz w:val="24"/>
                <w:lang w:bidi="ar"/>
              </w:rPr>
              <w:t>综合单价（元）</w:t>
            </w:r>
          </w:p>
        </w:tc>
        <w:tc>
          <w:tcPr>
            <w:tcW w:w="1415" w:type="dxa"/>
            <w:vAlign w:val="center"/>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合计</w:t>
            </w:r>
          </w:p>
          <w:p>
            <w:pPr>
              <w:widowControl/>
              <w:jc w:val="center"/>
              <w:textAlignment w:val="center"/>
              <w:rPr>
                <w:rFonts w:ascii="仿宋" w:hAnsi="仿宋" w:eastAsia="仿宋" w:cs="仿宋"/>
                <w:sz w:val="24"/>
              </w:rPr>
            </w:pPr>
            <w:r>
              <w:rPr>
                <w:rFonts w:hint="eastAsia" w:ascii="仿宋" w:hAnsi="仿宋" w:eastAsia="仿宋" w:cs="仿宋"/>
                <w:kern w:val="0"/>
                <w:sz w:val="24"/>
                <w:lang w:bidi="ar"/>
              </w:rPr>
              <w:t>（元）</w:t>
            </w:r>
          </w:p>
        </w:tc>
        <w:tc>
          <w:tcPr>
            <w:tcW w:w="1257" w:type="dxa"/>
            <w:vAlign w:val="center"/>
          </w:tcPr>
          <w:p>
            <w:pPr>
              <w:widowControl/>
              <w:jc w:val="center"/>
              <w:textAlignment w:val="center"/>
              <w:rPr>
                <w:rFonts w:ascii="仿宋" w:hAnsi="仿宋" w:eastAsia="仿宋" w:cs="仿宋"/>
                <w:sz w:val="24"/>
              </w:rPr>
            </w:pPr>
          </w:p>
          <w:p>
            <w:pPr>
              <w:widowControl/>
              <w:jc w:val="center"/>
              <w:textAlignment w:val="center"/>
              <w:rPr>
                <w:rFonts w:ascii="仿宋" w:hAnsi="仿宋" w:eastAsia="仿宋" w:cs="仿宋"/>
                <w:sz w:val="24"/>
              </w:rPr>
            </w:pPr>
            <w:r>
              <w:rPr>
                <w:rFonts w:hint="eastAsia" w:ascii="仿宋" w:hAnsi="仿宋" w:eastAsia="仿宋" w:cs="仿宋"/>
                <w:sz w:val="24"/>
              </w:rPr>
              <w:t>开票税率要求</w:t>
            </w:r>
          </w:p>
        </w:tc>
        <w:tc>
          <w:tcPr>
            <w:tcW w:w="1432" w:type="dxa"/>
            <w:vAlign w:val="center"/>
          </w:tcPr>
          <w:p>
            <w:pPr>
              <w:widowControl/>
              <w:jc w:val="center"/>
              <w:textAlignment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078" w:type="dxa"/>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3</w:t>
            </w:r>
          </w:p>
        </w:tc>
        <w:tc>
          <w:tcPr>
            <w:tcW w:w="771" w:type="dxa"/>
          </w:tcPr>
          <w:p>
            <w:pPr>
              <w:tabs>
                <w:tab w:val="left" w:pos="13270"/>
              </w:tabs>
              <w:jc w:val="center"/>
              <w:rPr>
                <w:rFonts w:ascii="仿宋" w:hAnsi="仿宋" w:eastAsia="仿宋" w:cs="仿宋"/>
                <w:sz w:val="24"/>
              </w:rPr>
            </w:pPr>
            <w:r>
              <w:rPr>
                <w:rFonts w:hint="eastAsia" w:ascii="仿宋" w:hAnsi="仿宋" w:eastAsia="仿宋" w:cs="仿宋"/>
                <w:sz w:val="24"/>
              </w:rPr>
              <w:t>水泥</w:t>
            </w:r>
          </w:p>
        </w:tc>
        <w:tc>
          <w:tcPr>
            <w:tcW w:w="1268" w:type="dxa"/>
          </w:tcPr>
          <w:p>
            <w:pPr>
              <w:tabs>
                <w:tab w:val="left" w:pos="13270"/>
              </w:tabs>
              <w:jc w:val="center"/>
              <w:rPr>
                <w:rFonts w:ascii="仿宋" w:hAnsi="仿宋" w:eastAsia="仿宋" w:cs="仿宋"/>
                <w:sz w:val="24"/>
              </w:rPr>
            </w:pPr>
            <w:r>
              <w:rPr>
                <w:rFonts w:hint="eastAsia" w:ascii="仿宋" w:hAnsi="仿宋" w:eastAsia="仿宋" w:cs="仿宋"/>
                <w:sz w:val="24"/>
              </w:rPr>
              <w:t>PO42.5R</w:t>
            </w:r>
          </w:p>
        </w:tc>
        <w:tc>
          <w:tcPr>
            <w:tcW w:w="1142" w:type="dxa"/>
          </w:tcPr>
          <w:p>
            <w:pPr>
              <w:tabs>
                <w:tab w:val="left" w:pos="13270"/>
              </w:tabs>
              <w:jc w:val="center"/>
              <w:rPr>
                <w:rFonts w:ascii="仿宋" w:hAnsi="仿宋" w:eastAsia="仿宋" w:cs="仿宋"/>
                <w:sz w:val="24"/>
              </w:rPr>
            </w:pPr>
            <w:r>
              <w:rPr>
                <w:rFonts w:hint="eastAsia" w:ascii="仿宋" w:hAnsi="仿宋" w:eastAsia="仿宋" w:cs="仿宋"/>
                <w:sz w:val="24"/>
              </w:rPr>
              <w:t>2000吨</w:t>
            </w:r>
          </w:p>
        </w:tc>
        <w:tc>
          <w:tcPr>
            <w:tcW w:w="1291" w:type="dxa"/>
          </w:tcPr>
          <w:p>
            <w:pPr>
              <w:tabs>
                <w:tab w:val="left" w:pos="13270"/>
              </w:tabs>
              <w:jc w:val="center"/>
              <w:rPr>
                <w:rFonts w:ascii="仿宋" w:hAnsi="仿宋" w:eastAsia="仿宋" w:cs="仿宋"/>
                <w:sz w:val="24"/>
              </w:rPr>
            </w:pPr>
          </w:p>
        </w:tc>
        <w:tc>
          <w:tcPr>
            <w:tcW w:w="1291" w:type="dxa"/>
          </w:tcPr>
          <w:p>
            <w:pPr>
              <w:tabs>
                <w:tab w:val="left" w:pos="13270"/>
              </w:tabs>
              <w:jc w:val="center"/>
              <w:rPr>
                <w:rFonts w:ascii="仿宋" w:hAnsi="仿宋" w:eastAsia="仿宋" w:cs="仿宋"/>
                <w:sz w:val="24"/>
              </w:rPr>
            </w:pPr>
          </w:p>
        </w:tc>
        <w:tc>
          <w:tcPr>
            <w:tcW w:w="1415" w:type="dxa"/>
          </w:tcPr>
          <w:p>
            <w:pPr>
              <w:tabs>
                <w:tab w:val="left" w:pos="13270"/>
              </w:tabs>
              <w:jc w:val="center"/>
              <w:rPr>
                <w:rFonts w:ascii="仿宋" w:hAnsi="仿宋" w:eastAsia="仿宋" w:cs="仿宋"/>
                <w:sz w:val="24"/>
              </w:rPr>
            </w:pPr>
          </w:p>
        </w:tc>
        <w:tc>
          <w:tcPr>
            <w:tcW w:w="1257" w:type="dxa"/>
          </w:tcPr>
          <w:p>
            <w:pPr>
              <w:tabs>
                <w:tab w:val="left" w:pos="13270"/>
              </w:tabs>
              <w:jc w:val="center"/>
              <w:rPr>
                <w:rFonts w:ascii="仿宋" w:hAnsi="仿宋" w:eastAsia="仿宋" w:cs="仿宋"/>
                <w:sz w:val="24"/>
              </w:rPr>
            </w:pPr>
            <w:r>
              <w:rPr>
                <w:rFonts w:hint="eastAsia" w:ascii="仿宋" w:hAnsi="仿宋" w:eastAsia="仿宋" w:cs="仿宋"/>
                <w:sz w:val="24"/>
              </w:rPr>
              <w:t>13%+9%</w:t>
            </w:r>
          </w:p>
        </w:tc>
        <w:tc>
          <w:tcPr>
            <w:tcW w:w="1432" w:type="dxa"/>
          </w:tcPr>
          <w:p>
            <w:pPr>
              <w:tabs>
                <w:tab w:val="left" w:pos="13270"/>
              </w:tabs>
              <w:jc w:val="center"/>
              <w:rPr>
                <w:sz w:val="24"/>
              </w:rPr>
            </w:pPr>
            <w:r>
              <w:rPr>
                <w:rFonts w:hint="eastAsia" w:ascii="仿宋" w:hAnsi="仿宋" w:eastAsia="仿宋" w:cs="仿宋"/>
                <w:sz w:val="24"/>
              </w:rPr>
              <w:t>可采用两票制，水泥票率13%，运费票率9%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078" w:type="dxa"/>
          </w:tcPr>
          <w:p>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合计</w:t>
            </w:r>
          </w:p>
        </w:tc>
        <w:tc>
          <w:tcPr>
            <w:tcW w:w="771" w:type="dxa"/>
          </w:tcPr>
          <w:p>
            <w:pPr>
              <w:tabs>
                <w:tab w:val="left" w:pos="13270"/>
              </w:tabs>
              <w:jc w:val="center"/>
              <w:rPr>
                <w:rFonts w:ascii="仿宋" w:hAnsi="仿宋" w:eastAsia="仿宋" w:cs="仿宋"/>
                <w:sz w:val="24"/>
              </w:rPr>
            </w:pPr>
          </w:p>
        </w:tc>
        <w:tc>
          <w:tcPr>
            <w:tcW w:w="1268" w:type="dxa"/>
          </w:tcPr>
          <w:p>
            <w:pPr>
              <w:tabs>
                <w:tab w:val="left" w:pos="13270"/>
              </w:tabs>
              <w:jc w:val="center"/>
              <w:rPr>
                <w:rFonts w:ascii="仿宋" w:hAnsi="仿宋" w:eastAsia="仿宋" w:cs="仿宋"/>
                <w:sz w:val="24"/>
              </w:rPr>
            </w:pPr>
          </w:p>
        </w:tc>
        <w:tc>
          <w:tcPr>
            <w:tcW w:w="1142" w:type="dxa"/>
          </w:tcPr>
          <w:p>
            <w:pPr>
              <w:tabs>
                <w:tab w:val="left" w:pos="13270"/>
              </w:tabs>
              <w:jc w:val="center"/>
              <w:rPr>
                <w:rFonts w:ascii="仿宋" w:hAnsi="仿宋" w:eastAsia="仿宋" w:cs="仿宋"/>
                <w:sz w:val="24"/>
              </w:rPr>
            </w:pPr>
          </w:p>
        </w:tc>
        <w:tc>
          <w:tcPr>
            <w:tcW w:w="1291" w:type="dxa"/>
          </w:tcPr>
          <w:p>
            <w:pPr>
              <w:tabs>
                <w:tab w:val="left" w:pos="13270"/>
              </w:tabs>
              <w:jc w:val="center"/>
              <w:rPr>
                <w:rFonts w:ascii="仿宋" w:hAnsi="仿宋" w:eastAsia="仿宋" w:cs="仿宋"/>
                <w:sz w:val="24"/>
              </w:rPr>
            </w:pPr>
          </w:p>
        </w:tc>
        <w:tc>
          <w:tcPr>
            <w:tcW w:w="1291" w:type="dxa"/>
          </w:tcPr>
          <w:p>
            <w:pPr>
              <w:tabs>
                <w:tab w:val="left" w:pos="13270"/>
              </w:tabs>
              <w:jc w:val="center"/>
              <w:rPr>
                <w:rFonts w:ascii="仿宋" w:hAnsi="仿宋" w:eastAsia="仿宋" w:cs="仿宋"/>
                <w:sz w:val="24"/>
              </w:rPr>
            </w:pPr>
          </w:p>
        </w:tc>
        <w:tc>
          <w:tcPr>
            <w:tcW w:w="1415" w:type="dxa"/>
          </w:tcPr>
          <w:p>
            <w:pPr>
              <w:tabs>
                <w:tab w:val="left" w:pos="13270"/>
              </w:tabs>
              <w:jc w:val="center"/>
              <w:rPr>
                <w:rFonts w:ascii="仿宋" w:hAnsi="仿宋" w:eastAsia="仿宋" w:cs="仿宋"/>
                <w:sz w:val="24"/>
              </w:rPr>
            </w:pPr>
          </w:p>
        </w:tc>
        <w:tc>
          <w:tcPr>
            <w:tcW w:w="1257" w:type="dxa"/>
          </w:tcPr>
          <w:p>
            <w:pPr>
              <w:tabs>
                <w:tab w:val="left" w:pos="13270"/>
              </w:tabs>
              <w:jc w:val="center"/>
              <w:rPr>
                <w:rFonts w:ascii="仿宋" w:hAnsi="仿宋" w:eastAsia="仿宋" w:cs="仿宋"/>
                <w:sz w:val="24"/>
              </w:rPr>
            </w:pPr>
          </w:p>
        </w:tc>
        <w:tc>
          <w:tcPr>
            <w:tcW w:w="1432" w:type="dxa"/>
          </w:tcPr>
          <w:p>
            <w:pPr>
              <w:tabs>
                <w:tab w:val="left" w:pos="13270"/>
              </w:tabs>
              <w:jc w:val="center"/>
              <w:rPr>
                <w:sz w:val="24"/>
              </w:rPr>
            </w:pPr>
          </w:p>
        </w:tc>
      </w:tr>
    </w:tbl>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r>
        <w:rPr>
          <w:rFonts w:hint="eastAsia" w:asciiTheme="minorEastAsia" w:hAnsiTheme="minorEastAsia" w:cstheme="minorEastAsia"/>
          <w:kern w:val="0"/>
          <w:szCs w:val="21"/>
        </w:rPr>
        <w:t>注：1. 对含糊不清或不确定的报价将视为无效报价。</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2.报价单上的“单价”和“总价”包含但不限于询价文件第五章采购清单注释所有费用。</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3.本报价单不够陈述的，供应商可另附纸进行陈述。</w:t>
      </w:r>
    </w:p>
    <w:p>
      <w:pPr>
        <w:autoSpaceDE w:val="0"/>
        <w:autoSpaceDN w:val="0"/>
        <w:adjustRightInd w:val="0"/>
        <w:spacing w:line="400" w:lineRule="exact"/>
        <w:ind w:firstLine="420" w:firstLineChars="200"/>
        <w:jc w:val="left"/>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autoSpaceDE w:val="0"/>
        <w:autoSpaceDN w:val="0"/>
        <w:adjustRightInd w:val="0"/>
        <w:spacing w:line="400" w:lineRule="exact"/>
        <w:ind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autoSpaceDE w:val="0"/>
        <w:autoSpaceDN w:val="0"/>
        <w:adjustRightInd w:val="0"/>
        <w:spacing w:line="400" w:lineRule="exact"/>
        <w:ind w:right="640"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sectPr>
          <w:pgSz w:w="16838" w:h="11906" w:orient="landscape"/>
          <w:pgMar w:top="1803" w:right="1440" w:bottom="1803" w:left="1440" w:header="851" w:footer="992" w:gutter="0"/>
          <w:pgNumType w:start="0"/>
          <w:cols w:space="0" w:num="1"/>
          <w:docGrid w:type="lines" w:linePitch="319" w:charSpace="0"/>
        </w:sectPr>
      </w:pPr>
    </w:p>
    <w:p>
      <w:pPr>
        <w:rPr>
          <w:rFonts w:ascii="仿宋" w:hAnsi="仿宋" w:eastAsia="仿宋" w:cs="仿宋"/>
          <w:b/>
          <w:bCs/>
          <w:sz w:val="32"/>
          <w:szCs w:val="32"/>
        </w:rPr>
      </w:pPr>
    </w:p>
    <w:p>
      <w:pPr>
        <w:pStyle w:val="5"/>
        <w:spacing w:line="360" w:lineRule="auto"/>
        <w:jc w:val="center"/>
        <w:rPr>
          <w:rFonts w:ascii="宋体" w:hAnsi="宋体" w:eastAsia="宋体" w:cs="宋体"/>
          <w:kern w:val="0"/>
          <w:sz w:val="24"/>
          <w:szCs w:val="24"/>
        </w:rPr>
      </w:pPr>
      <w:bookmarkStart w:id="17" w:name="_Toc2126"/>
      <w:bookmarkStart w:id="18" w:name="_Toc15603"/>
      <w:bookmarkStart w:id="19" w:name="_Toc27003"/>
      <w:bookmarkStart w:id="20" w:name="_Toc4838"/>
      <w:bookmarkStart w:id="21" w:name="_Toc8041"/>
      <w:r>
        <w:rPr>
          <w:rFonts w:hint="eastAsia" w:ascii="宋体" w:hAnsi="宋体" w:eastAsia="宋体" w:cs="宋体"/>
          <w:sz w:val="24"/>
          <w:szCs w:val="24"/>
        </w:rPr>
        <w:t>三、响应人基本情况表</w:t>
      </w:r>
      <w:bookmarkEnd w:id="17"/>
      <w:bookmarkEnd w:id="18"/>
      <w:bookmarkEnd w:id="19"/>
      <w:bookmarkEnd w:id="20"/>
      <w:bookmarkEnd w:id="21"/>
      <w:r>
        <w:rPr>
          <w:rFonts w:hint="eastAsia" w:ascii="宋体" w:hAnsi="宋体" w:eastAsia="宋体" w:cs="宋体"/>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六、承诺函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3885" w:firstLineChars="185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2625" w:firstLineChars="12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wMmRiMGQzZDI3ZThmNWZkMGZiODQ5YmJjOTA0ND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26344"/>
    <w:rsid w:val="002A0A56"/>
    <w:rsid w:val="002B7ECA"/>
    <w:rsid w:val="002D1A50"/>
    <w:rsid w:val="002E0554"/>
    <w:rsid w:val="003372FC"/>
    <w:rsid w:val="003553FA"/>
    <w:rsid w:val="00380F46"/>
    <w:rsid w:val="00382AD4"/>
    <w:rsid w:val="00383BF2"/>
    <w:rsid w:val="003B6534"/>
    <w:rsid w:val="003C28D8"/>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16511"/>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7043556"/>
    <w:rsid w:val="48B87BF5"/>
    <w:rsid w:val="48B972F3"/>
    <w:rsid w:val="4A6A6325"/>
    <w:rsid w:val="4C405D8D"/>
    <w:rsid w:val="4C570EAE"/>
    <w:rsid w:val="4C8D1B15"/>
    <w:rsid w:val="4CF8129A"/>
    <w:rsid w:val="4FB63413"/>
    <w:rsid w:val="514364B2"/>
    <w:rsid w:val="524F3D6B"/>
    <w:rsid w:val="526813EF"/>
    <w:rsid w:val="529B69C6"/>
    <w:rsid w:val="54625F54"/>
    <w:rsid w:val="56BE4282"/>
    <w:rsid w:val="57217F7A"/>
    <w:rsid w:val="57351573"/>
    <w:rsid w:val="57556FB3"/>
    <w:rsid w:val="586A0CB6"/>
    <w:rsid w:val="58DD4939"/>
    <w:rsid w:val="5A606D0E"/>
    <w:rsid w:val="5ADC30C6"/>
    <w:rsid w:val="5CF525C4"/>
    <w:rsid w:val="5E954A0B"/>
    <w:rsid w:val="5EBB7FE7"/>
    <w:rsid w:val="65ED6CD8"/>
    <w:rsid w:val="6A850EDB"/>
    <w:rsid w:val="6C114B33"/>
    <w:rsid w:val="6D815849"/>
    <w:rsid w:val="70F4419F"/>
    <w:rsid w:val="739521C4"/>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tabs>
        <w:tab w:val="left" w:pos="0"/>
      </w:tabs>
      <w:spacing w:before="156" w:beforeLines="50" w:after="156" w:afterLines="50"/>
      <w:jc w:val="center"/>
    </w:pPr>
    <w:rPr>
      <w:rFonts w:eastAsia="黑体"/>
      <w:sz w:val="32"/>
    </w:rPr>
  </w:style>
  <w:style w:type="paragraph" w:styleId="7">
    <w:name w:val="Normal Indent"/>
    <w:basedOn w:val="1"/>
    <w:qFormat/>
    <w:uiPriority w:val="0"/>
    <w:pPr>
      <w:ind w:firstLine="420"/>
    </w:pPr>
    <w:rPr>
      <w:rFonts w:eastAsia="宋体"/>
    </w:rPr>
  </w:style>
  <w:style w:type="paragraph" w:styleId="8">
    <w:name w:val="annotation text"/>
    <w:basedOn w:val="1"/>
    <w:link w:val="26"/>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5"/>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7"/>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styleId="22">
    <w:name w:val="Quote"/>
    <w:basedOn w:val="1"/>
    <w:next w:val="1"/>
    <w:qFormat/>
    <w:uiPriority w:val="99"/>
    <w:rPr>
      <w:rFonts w:ascii="Calibri" w:hAnsi="Calibri" w:cs="Calibri"/>
      <w:i/>
      <w:iCs/>
      <w:color w:val="000000"/>
      <w:sz w:val="22"/>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5">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6">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7">
    <w:name w:val="批注主题 字符"/>
    <w:basedOn w:val="26"/>
    <w:link w:val="16"/>
    <w:semiHidden/>
    <w:qFormat/>
    <w:uiPriority w:val="0"/>
    <w:rPr>
      <w:rFonts w:asciiTheme="minorHAnsi" w:hAnsiTheme="minorHAnsi" w:eastAsiaTheme="minorEastAsia" w:cstheme="minorBidi"/>
      <w:b/>
      <w:bCs/>
      <w:kern w:val="2"/>
      <w:sz w:val="21"/>
      <w:szCs w:val="22"/>
    </w:rPr>
  </w:style>
  <w:style w:type="character" w:customStyle="1" w:styleId="28">
    <w:name w:val="页脚 字符"/>
    <w:basedOn w:val="19"/>
    <w:link w:val="12"/>
    <w:qFormat/>
    <w:uiPriority w:val="99"/>
    <w:rPr>
      <w:rFonts w:asciiTheme="minorHAnsi" w:hAnsiTheme="minorHAnsi" w:eastAsiaTheme="minorEastAsia" w:cstheme="minorBidi"/>
      <w:kern w:val="2"/>
      <w:sz w:val="18"/>
    </w:rPr>
  </w:style>
  <w:style w:type="paragraph" w:customStyle="1" w:styleId="29">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0">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List Paragraph"/>
    <w:basedOn w:val="1"/>
    <w:qFormat/>
    <w:uiPriority w:val="99"/>
    <w:pPr>
      <w:ind w:firstLine="420" w:firstLineChars="200"/>
    </w:pPr>
  </w:style>
  <w:style w:type="paragraph" w:customStyle="1" w:styleId="32">
    <w:name w:val="WPSOffice手动目录 1"/>
    <w:qFormat/>
    <w:uiPriority w:val="0"/>
    <w:rPr>
      <w:rFonts w:ascii="Times New Roman" w:hAnsi="Times New Roman" w:eastAsia="宋体" w:cs="Times New Roman"/>
      <w:lang w:val="en-US" w:eastAsia="zh-CN" w:bidi="ar-SA"/>
    </w:rPr>
  </w:style>
  <w:style w:type="character" w:customStyle="1" w:styleId="33">
    <w:name w:val="标题 1 字符"/>
    <w:link w:val="4"/>
    <w:qFormat/>
    <w:uiPriority w:val="0"/>
    <w:rPr>
      <w:b/>
      <w:bCs/>
      <w:kern w:val="44"/>
      <w:sz w:val="44"/>
      <w:szCs w:val="44"/>
    </w:rPr>
  </w:style>
  <w:style w:type="character" w:customStyle="1" w:styleId="34">
    <w:name w:val="font21"/>
    <w:basedOn w:val="19"/>
    <w:qFormat/>
    <w:uiPriority w:val="0"/>
    <w:rPr>
      <w:rFonts w:hint="eastAsia" w:ascii="微软雅黑" w:hAnsi="微软雅黑" w:eastAsia="微软雅黑" w:cs="微软雅黑"/>
      <w:color w:val="000000"/>
      <w:sz w:val="20"/>
      <w:szCs w:val="20"/>
      <w:u w:val="none"/>
    </w:rPr>
  </w:style>
  <w:style w:type="character" w:customStyle="1" w:styleId="35">
    <w:name w:val="font41"/>
    <w:basedOn w:val="19"/>
    <w:qFormat/>
    <w:uiPriority w:val="0"/>
    <w:rPr>
      <w:rFonts w:ascii="Tahoma" w:hAnsi="Tahoma" w:eastAsia="Tahoma" w:cs="Tahoma"/>
      <w:color w:val="000000"/>
      <w:sz w:val="20"/>
      <w:szCs w:val="20"/>
      <w:u w:val="none"/>
    </w:rPr>
  </w:style>
  <w:style w:type="character" w:customStyle="1" w:styleId="36">
    <w:name w:val="font31"/>
    <w:basedOn w:val="19"/>
    <w:qFormat/>
    <w:uiPriority w:val="0"/>
    <w:rPr>
      <w:rFonts w:hint="eastAsia" w:ascii="宋体" w:hAnsi="宋体" w:eastAsia="宋体" w:cs="宋体"/>
      <w:color w:val="000000"/>
      <w:sz w:val="20"/>
      <w:szCs w:val="20"/>
      <w:u w:val="none"/>
    </w:rPr>
  </w:style>
  <w:style w:type="character" w:customStyle="1" w:styleId="37">
    <w:name w:val="font61"/>
    <w:qFormat/>
    <w:uiPriority w:val="0"/>
    <w:rPr>
      <w:rFonts w:hint="default" w:ascii="Times New Roman" w:hAnsi="Times New Roman" w:cs="Times New Roman"/>
      <w:b/>
      <w:color w:val="000000"/>
      <w:sz w:val="21"/>
      <w:szCs w:val="21"/>
      <w:u w:val="none"/>
    </w:rPr>
  </w:style>
  <w:style w:type="paragraph" w:customStyle="1" w:styleId="38">
    <w:name w:val="称呼1"/>
    <w:basedOn w:val="1"/>
    <w:next w:val="1"/>
    <w:qFormat/>
    <w:uiPriority w:val="0"/>
    <w:rPr>
      <w:rFonts w:ascii="宋体" w:hAnsi="宋体" w:cs="黑体"/>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26</Pages>
  <Words>7774</Words>
  <Characters>8088</Characters>
  <Lines>71</Lines>
  <Paragraphs>20</Paragraphs>
  <TotalTime>3</TotalTime>
  <ScaleCrop>false</ScaleCrop>
  <LinksUpToDate>false</LinksUpToDate>
  <CharactersWithSpaces>9187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2023-06-02T07:06:03Z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12D852DD9610476180A6B505DF81444A_13</vt:lpwstr>
  </property>
</Properties>
</file>