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合江县农村收运体系建设巩固提升项目垃圾收集车辆采购</w:t>
      </w:r>
    </w:p>
    <w:p>
      <w:pPr>
        <w:pStyle w:val="2"/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询价报价表（第二次）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exact"/>
        <w:ind w:firstLine="480" w:firstLineChars="200"/>
        <w:textAlignment w:val="auto"/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采购内容：采购垃圾收集车辆4台（先滩镇、福宝镇、凤鸣镇、车辋镇各1台，包含车辆上牌，车辆首次强制保险及商业险，其中商业险不低于150万元）。</w:t>
      </w:r>
    </w:p>
    <w:tbl>
      <w:tblPr>
        <w:tblStyle w:val="5"/>
        <w:tblW w:w="14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835"/>
        <w:gridCol w:w="1265"/>
        <w:gridCol w:w="1628"/>
        <w:gridCol w:w="7395"/>
        <w:gridCol w:w="2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货物名称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数量（辆）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（元/辆）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合价（元）</w:t>
            </w:r>
          </w:p>
        </w:tc>
        <w:tc>
          <w:tcPr>
            <w:tcW w:w="7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Theme="minorEastAsia"/>
                <w:color w:val="000000"/>
                <w:lang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报价参数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cs="宋体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7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压缩垃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圾车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4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color w:val="000000"/>
              </w:rPr>
            </w:pPr>
          </w:p>
        </w:tc>
        <w:tc>
          <w:tcPr>
            <w:tcW w:w="7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default"/>
                <w:lang w:val="en-US" w:eastAsia="zh-CN"/>
              </w:rPr>
              <w:t>▲外形尺寸：长×宽×高（mm）≥7730×2510×3050</w:t>
            </w:r>
            <w:r>
              <w:rPr>
                <w:rFonts w:hint="eastAsia"/>
                <w:lang w:val="en-US" w:eastAsia="zh-CN"/>
              </w:rPr>
              <w:t>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default"/>
                <w:lang w:val="en-US" w:eastAsia="zh-CN"/>
              </w:rPr>
              <w:t>▲整备质量</w:t>
            </w:r>
            <w:r>
              <w:rPr>
                <w:rFonts w:hint="default"/>
                <w:lang w:val="en-US" w:eastAsia="zh-CN"/>
              </w:rPr>
              <w:tab/>
            </w:r>
            <w:r>
              <w:rPr>
                <w:rFonts w:hint="default"/>
                <w:lang w:val="en-US" w:eastAsia="zh-CN"/>
              </w:rPr>
              <w:t>(Kg)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default"/>
                <w:lang w:val="en-US" w:eastAsia="zh-CN"/>
              </w:rPr>
              <w:t>≥7380</w:t>
            </w:r>
            <w:r>
              <w:rPr>
                <w:rFonts w:hint="eastAsia"/>
                <w:lang w:val="en-US" w:eastAsia="zh-CN"/>
              </w:rPr>
              <w:t>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default"/>
                <w:lang w:val="en-US" w:eastAsia="zh-CN"/>
              </w:rPr>
              <w:t>▲额定质量</w:t>
            </w:r>
            <w:r>
              <w:rPr>
                <w:rFonts w:hint="default"/>
                <w:lang w:val="en-US" w:eastAsia="zh-CN"/>
              </w:rPr>
              <w:tab/>
            </w:r>
            <w:r>
              <w:rPr>
                <w:rFonts w:hint="default"/>
                <w:lang w:val="en-US" w:eastAsia="zh-CN"/>
              </w:rPr>
              <w:t>(Kg)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default"/>
                <w:lang w:val="en-US" w:eastAsia="zh-CN"/>
              </w:rPr>
              <w:t>≥4280</w:t>
            </w:r>
            <w:r>
              <w:rPr>
                <w:rFonts w:hint="eastAsia"/>
                <w:lang w:val="en-US" w:eastAsia="zh-CN"/>
              </w:rPr>
              <w:t>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default"/>
                <w:lang w:val="en-US" w:eastAsia="zh-CN"/>
              </w:rPr>
              <w:t>▲接近角（°）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default"/>
                <w:lang w:val="en-US" w:eastAsia="zh-CN"/>
              </w:rPr>
              <w:t>≥16</w:t>
            </w:r>
            <w:r>
              <w:rPr>
                <w:rFonts w:hint="eastAsia"/>
                <w:lang w:val="en-US" w:eastAsia="zh-CN"/>
              </w:rPr>
              <w:t>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default"/>
                <w:lang w:val="en-US" w:eastAsia="zh-CN"/>
              </w:rPr>
              <w:t>▲离去角（°）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default"/>
                <w:lang w:val="en-US" w:eastAsia="zh-CN"/>
              </w:rPr>
              <w:t>≥13</w:t>
            </w:r>
            <w:r>
              <w:rPr>
                <w:rFonts w:hint="eastAsia"/>
                <w:lang w:val="en-US" w:eastAsia="zh-CN"/>
              </w:rPr>
              <w:t>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default"/>
                <w:lang w:val="en-US" w:eastAsia="zh-CN"/>
              </w:rPr>
              <w:t>▲前悬/后悬（mm）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default"/>
                <w:lang w:val="en-US" w:eastAsia="zh-CN"/>
              </w:rPr>
              <w:t>≤1430/2850</w:t>
            </w:r>
            <w:r>
              <w:rPr>
                <w:rFonts w:hint="eastAsia"/>
                <w:lang w:val="en-US" w:eastAsia="zh-CN"/>
              </w:rPr>
              <w:t>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default"/>
                <w:lang w:val="en-US" w:eastAsia="zh-CN"/>
              </w:rPr>
              <w:t>▲最高车速</w:t>
            </w:r>
            <w:r>
              <w:rPr>
                <w:rFonts w:hint="default"/>
                <w:lang w:val="en-US" w:eastAsia="zh-CN"/>
              </w:rPr>
              <w:tab/>
            </w:r>
            <w:r>
              <w:rPr>
                <w:rFonts w:hint="default"/>
                <w:lang w:val="en-US" w:eastAsia="zh-CN"/>
              </w:rPr>
              <w:t>(Km/h)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default"/>
                <w:lang w:val="en-US" w:eastAsia="zh-CN"/>
              </w:rPr>
              <w:t>≥110</w:t>
            </w:r>
            <w:r>
              <w:rPr>
                <w:rFonts w:hint="eastAsia"/>
                <w:lang w:val="en-US" w:eastAsia="zh-CN"/>
              </w:rPr>
              <w:t>；</w:t>
            </w:r>
          </w:p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8.发动机核定功率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（Kw）：</w:t>
            </w:r>
            <w:r>
              <w:rPr>
                <w:rFonts w:hint="eastAsia" w:ascii="宋体" w:hAnsi="宋体"/>
                <w:szCs w:val="21"/>
              </w:rPr>
              <w:t>≥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125；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9.最小离地间隙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（mm）：</w:t>
            </w:r>
            <w:r>
              <w:rPr>
                <w:rFonts w:hint="eastAsia" w:ascii="宋体" w:hAnsi="宋体"/>
                <w:szCs w:val="21"/>
              </w:rPr>
              <w:t>≥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200；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default"/>
                <w:lang w:val="en-US" w:eastAsia="zh-CN"/>
              </w:rPr>
              <w:t>垃圾箱有效容积（m3）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default"/>
                <w:lang w:val="en-US" w:eastAsia="zh-CN"/>
              </w:rPr>
              <w:t>≥11</w:t>
            </w:r>
            <w:r>
              <w:rPr>
                <w:rFonts w:hint="eastAsia"/>
                <w:lang w:val="en-US" w:eastAsia="zh-CN"/>
              </w:rPr>
              <w:t>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11.</w:t>
            </w:r>
            <w:r>
              <w:rPr>
                <w:rFonts w:hint="default"/>
                <w:lang w:val="en-US" w:eastAsia="zh-CN"/>
              </w:rPr>
              <w:t>压缩循环时间s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eastAsia" w:ascii="宋体" w:hAnsi="宋体"/>
                <w:szCs w:val="21"/>
              </w:rPr>
              <w:t>≤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15</w:t>
            </w:r>
            <w:r>
              <w:rPr>
                <w:rFonts w:hint="eastAsia"/>
                <w:lang w:val="en-US" w:eastAsia="zh-CN"/>
              </w:rPr>
              <w:t>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default"/>
                <w:lang w:val="en-US" w:eastAsia="zh-CN"/>
              </w:rPr>
              <w:t>上料循环时间s</w:t>
            </w:r>
            <w:r>
              <w:rPr>
                <w:rFonts w:hint="default"/>
                <w:lang w:val="en-US" w:eastAsia="zh-CN"/>
              </w:rPr>
              <w:tab/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eastAsia" w:ascii="宋体" w:hAnsi="宋体"/>
                <w:szCs w:val="21"/>
              </w:rPr>
              <w:t>≤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10</w:t>
            </w:r>
            <w:r>
              <w:rPr>
                <w:rFonts w:hint="eastAsia"/>
                <w:lang w:val="en-US" w:eastAsia="zh-CN"/>
              </w:rPr>
              <w:t>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default"/>
                <w:lang w:val="en-US" w:eastAsia="zh-CN"/>
              </w:rPr>
              <w:t>卸料作业循环时间（s）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eastAsia" w:ascii="宋体" w:hAnsi="宋体"/>
                <w:szCs w:val="21"/>
              </w:rPr>
              <w:t>≤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45</w:t>
            </w:r>
            <w:r>
              <w:rPr>
                <w:rFonts w:hint="eastAsia"/>
                <w:lang w:val="en-US" w:eastAsia="zh-CN"/>
              </w:rPr>
              <w:t>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default"/>
                <w:lang w:val="en-US" w:eastAsia="zh-CN"/>
              </w:rPr>
              <w:t>控制方式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default"/>
                <w:lang w:val="en-US" w:eastAsia="zh-CN"/>
              </w:rPr>
              <w:t>手动/自动</w:t>
            </w:r>
            <w:r>
              <w:rPr>
                <w:rFonts w:hint="eastAsia"/>
                <w:lang w:val="en-US" w:eastAsia="zh-CN"/>
              </w:rPr>
              <w:t>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5.</w:t>
            </w:r>
            <w:r>
              <w:rPr>
                <w:rFonts w:hint="default"/>
                <w:lang w:val="en-US" w:eastAsia="zh-CN"/>
              </w:rPr>
              <w:t>主要构件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default"/>
                <w:lang w:val="en-US" w:eastAsia="zh-CN"/>
              </w:rPr>
              <w:t>垃圾箱底部设计有填装器锁紧机构；填装器前端面装有密封条，并与垃圾箱后端面形成密封结构，有效防止污水泄漏；填装器底部装有污水箱</w:t>
            </w:r>
            <w:r>
              <w:rPr>
                <w:rFonts w:hint="eastAsia"/>
                <w:lang w:val="en-US" w:eastAsia="zh-CN"/>
              </w:rPr>
              <w:t>，</w:t>
            </w:r>
            <w:r>
              <w:rPr>
                <w:rFonts w:hint="default"/>
                <w:lang w:val="en-US" w:eastAsia="zh-CN"/>
              </w:rPr>
              <w:t>上料机构为翻桶型，可翻120L/240L/660L垃圾桶。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6.</w:t>
            </w:r>
            <w:r>
              <w:rPr>
                <w:rFonts w:hint="default"/>
                <w:lang w:val="en-US" w:eastAsia="zh-CN"/>
              </w:rPr>
              <w:t>排料方式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default"/>
                <w:lang w:val="en-US" w:eastAsia="zh-CN"/>
              </w:rPr>
              <w:t>推铲采用液压油缸驱动垃圾箱下沿轨道滑动，完成卸料作业</w:t>
            </w:r>
            <w:r>
              <w:rPr>
                <w:rFonts w:hint="eastAsia"/>
                <w:lang w:val="en-US" w:eastAsia="zh-CN"/>
              </w:rPr>
              <w:t>，</w:t>
            </w:r>
            <w:r>
              <w:rPr>
                <w:rFonts w:hint="default"/>
                <w:lang w:val="en-US" w:eastAsia="zh-CN"/>
              </w:rPr>
              <w:t>可进行水平卸料。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7.</w:t>
            </w:r>
            <w:r>
              <w:rPr>
                <w:rFonts w:hint="default"/>
                <w:lang w:val="en-US" w:eastAsia="zh-CN"/>
              </w:rPr>
              <w:t>控制方式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default"/>
                <w:lang w:val="en-US" w:eastAsia="zh-CN"/>
              </w:rPr>
              <w:t>采用“CAN 总线+专用控制器模式”，发动机功率输出控制即油门控制通过电气系统实现全自动控制。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8.</w:t>
            </w:r>
            <w:r>
              <w:rPr>
                <w:rFonts w:hint="default"/>
                <w:lang w:val="en-US" w:eastAsia="zh-CN"/>
              </w:rPr>
              <w:t>安全配置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default"/>
                <w:lang w:val="en-US" w:eastAsia="zh-CN"/>
              </w:rPr>
              <w:t>配备语音报警系统，作业时发出语音报警和提示信息填装器上设有安全撑杆，填装器左侧和右侧设置的紧停止按钮</w:t>
            </w:r>
            <w:r>
              <w:rPr>
                <w:rFonts w:hint="eastAsia"/>
                <w:lang w:val="en-US" w:eastAsia="zh-CN"/>
              </w:rPr>
              <w:t>.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本次报价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总价</w:t>
            </w:r>
          </w:p>
        </w:tc>
        <w:tc>
          <w:tcPr>
            <w:tcW w:w="3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***元（大写：   元）</w:t>
            </w:r>
          </w:p>
        </w:tc>
        <w:tc>
          <w:tcPr>
            <w:tcW w:w="7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本次报价需考虑满足货物参数需求，包含货物运输、税金、上户、保险等费用。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备注：</w:t>
      </w:r>
      <w:r>
        <w:rPr>
          <w:rFonts w:hint="eastAsia" w:eastAsia="宋体"/>
          <w:lang w:val="en-US" w:eastAsia="zh-CN"/>
        </w:rPr>
        <w:t>1.</w:t>
      </w:r>
      <w:r>
        <w:rPr>
          <w:rFonts w:hint="eastAsia" w:eastAsia="宋体"/>
          <w:lang w:val="zh-CN"/>
        </w:rPr>
        <w:t>技术参数要求中标“▲”参数投标人须在投标文件中提供国家工信部《道路机动车车辆生产企业及产品公告》公告参数</w:t>
      </w:r>
      <w:r>
        <w:rPr>
          <w:rFonts w:hint="eastAsia" w:eastAsia="宋体"/>
          <w:lang w:val="en-US" w:eastAsia="zh-Hans"/>
        </w:rPr>
        <w:t>页中标注并</w:t>
      </w:r>
      <w:r>
        <w:rPr>
          <w:rFonts w:hint="eastAsia" w:eastAsia="宋体"/>
          <w:lang w:val="zh-CN"/>
        </w:rPr>
        <w:t xml:space="preserve">加盖投标人公章。 </w:t>
      </w:r>
      <w:r>
        <w:rPr>
          <w:rFonts w:hint="eastAsia" w:eastAsia="宋体"/>
          <w:lang w:val="en-US" w:eastAsia="zh-CN"/>
        </w:rPr>
        <w:t>2.供应单位需提供2个2021年1月1日-至今业绩证明（采购合同、中标通知书）。</w:t>
      </w:r>
      <w:r>
        <w:rPr>
          <w:rFonts w:hint="eastAsia"/>
          <w:lang w:val="en-US" w:eastAsia="zh-CN"/>
        </w:rPr>
        <w:t xml:space="preserve"> </w:t>
      </w:r>
    </w:p>
    <w:p>
      <w:pPr>
        <w:jc w:val="both"/>
        <w:rPr>
          <w:rFonts w:hint="default" w:eastAsia="宋体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</w:t>
      </w:r>
      <w:r>
        <w:rPr>
          <w:rFonts w:hint="eastAsia"/>
          <w:szCs w:val="21"/>
          <w:lang w:val="en-US" w:eastAsia="zh-CN"/>
        </w:rPr>
        <w:t>供货</w:t>
      </w:r>
      <w:r>
        <w:rPr>
          <w:rFonts w:hint="eastAsia"/>
          <w:szCs w:val="21"/>
        </w:rPr>
        <w:t xml:space="preserve">单位名称： (盖章)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center"/>
        <w:textAlignment w:val="auto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                    </w:t>
      </w:r>
      <w:r>
        <w:rPr>
          <w:rFonts w:hint="eastAsia"/>
          <w:szCs w:val="21"/>
        </w:rPr>
        <w:t xml:space="preserve">法定代表人或委托代理人： (签字)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center"/>
        <w:textAlignment w:val="auto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通讯地址：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center"/>
        <w:textAlignment w:val="auto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邮政编码：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center"/>
        <w:textAlignment w:val="auto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联系电话：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center"/>
        <w:textAlignment w:val="auto"/>
      </w:pPr>
      <w:r>
        <w:rPr>
          <w:rFonts w:hint="eastAsia"/>
          <w:szCs w:val="21"/>
          <w:lang w:val="en-US" w:eastAsia="zh-CN"/>
        </w:rPr>
        <w:t xml:space="preserve">                                 </w:t>
      </w:r>
      <w:r>
        <w:rPr>
          <w:rFonts w:hint="eastAsia"/>
          <w:szCs w:val="21"/>
        </w:rPr>
        <w:t>日 期：  年   月   日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TC-5b8b*+times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OWIzZDlhOGMzMDBiNTY2MjljNGFmNDliODlhNTkifQ=="/>
  </w:docVars>
  <w:rsids>
    <w:rsidRoot w:val="00000000"/>
    <w:rsid w:val="04AD6E28"/>
    <w:rsid w:val="0DB90E22"/>
    <w:rsid w:val="194D4E5C"/>
    <w:rsid w:val="1E207B71"/>
    <w:rsid w:val="27B14A70"/>
    <w:rsid w:val="3BAD2762"/>
    <w:rsid w:val="3FE51E0B"/>
    <w:rsid w:val="46F97EB0"/>
    <w:rsid w:val="4A9A19D8"/>
    <w:rsid w:val="52C56B9D"/>
    <w:rsid w:val="5B385608"/>
    <w:rsid w:val="5F9759C9"/>
    <w:rsid w:val="5FBD5985"/>
    <w:rsid w:val="645E2C9E"/>
    <w:rsid w:val="69E41601"/>
    <w:rsid w:val="6AAF469D"/>
    <w:rsid w:val="6BCC7BF4"/>
    <w:rsid w:val="75BD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Body Text First Indent"/>
    <w:basedOn w:val="2"/>
    <w:next w:val="1"/>
    <w:autoRedefine/>
    <w:qFormat/>
    <w:uiPriority w:val="0"/>
    <w:pPr>
      <w:ind w:firstLine="420" w:firstLineChars="100"/>
    </w:pPr>
    <w:rPr>
      <w:szCs w:val="20"/>
    </w:rPr>
  </w:style>
  <w:style w:type="paragraph" w:styleId="7">
    <w:name w:val="Quote"/>
    <w:next w:val="1"/>
    <w:autoRedefine/>
    <w:qFormat/>
    <w:uiPriority w:val="99"/>
    <w:pPr>
      <w:widowControl w:val="0"/>
      <w:jc w:val="both"/>
    </w:pPr>
    <w:rPr>
      <w:rFonts w:ascii="Calibri" w:hAnsi="Calibri" w:cs="Calibri" w:eastAsiaTheme="minorEastAsia"/>
      <w:i/>
      <w:iCs/>
      <w:color w:val="000000"/>
      <w:kern w:val="2"/>
      <w:sz w:val="22"/>
      <w:szCs w:val="24"/>
      <w:lang w:val="en-US" w:eastAsia="zh-CN" w:bidi="ar-SA"/>
    </w:rPr>
  </w:style>
  <w:style w:type="character" w:customStyle="1" w:styleId="8">
    <w:name w:val="标题 1 Char"/>
    <w:link w:val="3"/>
    <w:autoRedefine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1664</Words>
  <Characters>2218</Characters>
  <Lines>0</Lines>
  <Paragraphs>0</Paragraphs>
  <TotalTime>0</TotalTime>
  <ScaleCrop>false</ScaleCrop>
  <LinksUpToDate>false</LinksUpToDate>
  <CharactersWithSpaces>2470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2023-04-20T08:51:00Z</dcterms:created>
  <dc:creator>Administrator</dc:creator>
  <cp:lastModifiedBy>小王</cp:lastModifiedBy>
  <dcterms:modified xsi:type="dcterms:W3CDTF">2024-01-15T08:01:56Z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3E139E6B612645B9AD841080CFD44820_12</vt:lpwstr>
  </property>
</Properties>
</file>