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auto"/>
          <w:sz w:val="44"/>
          <w:szCs w:val="44"/>
          <w:lang w:val="en-US" w:eastAsia="zh-CN"/>
        </w:rPr>
      </w:pPr>
      <w:bookmarkStart w:id="0" w:name="_Hlk144670915"/>
      <w:r>
        <w:rPr>
          <w:rFonts w:hint="eastAsia" w:ascii="Times New Roman" w:hAnsi="Times New Roman" w:eastAsia="仿宋" w:cs="Times New Roman"/>
          <w:b/>
          <w:color w:val="auto"/>
          <w:sz w:val="44"/>
          <w:szCs w:val="44"/>
          <w:lang w:val="en-US" w:eastAsia="zh-CN"/>
        </w:rPr>
        <w:t>XJ-2023-14（2）</w:t>
      </w:r>
    </w:p>
    <w:p>
      <w:pPr>
        <w:jc w:val="center"/>
        <w:rPr>
          <w:rFonts w:hint="default" w:ascii="Times New Roman" w:hAnsi="Times New Roman" w:eastAsia="仿宋" w:cs="Times New Roman"/>
          <w:b/>
          <w:color w:val="auto"/>
          <w:sz w:val="44"/>
          <w:szCs w:val="44"/>
        </w:rPr>
      </w:pPr>
    </w:p>
    <w:bookmarkEnd w:id="0"/>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合江县甘竹路（甘雨至石龙段）</w:t>
      </w: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改建工程</w:t>
      </w:r>
      <w:r>
        <w:rPr>
          <w:rFonts w:hint="eastAsia" w:ascii="Times New Roman" w:hAnsi="Times New Roman" w:eastAsia="仿宋" w:cs="Times New Roman"/>
          <w:b/>
          <w:color w:val="auto"/>
          <w:sz w:val="44"/>
          <w:szCs w:val="44"/>
          <w:lang w:val="en-US" w:eastAsia="zh-CN"/>
        </w:rPr>
        <w:t>建筑工程</w:t>
      </w:r>
      <w:r>
        <w:rPr>
          <w:rFonts w:hint="default" w:ascii="Times New Roman" w:hAnsi="Times New Roman" w:eastAsia="仿宋" w:cs="Times New Roman"/>
          <w:b/>
          <w:color w:val="auto"/>
          <w:sz w:val="44"/>
          <w:szCs w:val="44"/>
        </w:rPr>
        <w:t>一切险</w:t>
      </w: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询价文件</w:t>
      </w: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pStyle w:val="8"/>
        <w:rPr>
          <w:rFonts w:hint="default" w:ascii="Times New Roman" w:hAnsi="Times New Roman" w:eastAsia="仿宋" w:cs="Times New Roman"/>
          <w:color w:val="auto"/>
          <w:sz w:val="44"/>
          <w:szCs w:val="44"/>
        </w:rPr>
      </w:pPr>
    </w:p>
    <w:p>
      <w:pPr>
        <w:rPr>
          <w:rFonts w:hint="default" w:ascii="Times New Roman" w:hAnsi="Times New Roman" w:eastAsia="仿宋" w:cs="Times New Roman"/>
          <w:b/>
          <w:color w:val="auto"/>
          <w:sz w:val="44"/>
          <w:szCs w:val="44"/>
        </w:rPr>
      </w:pPr>
    </w:p>
    <w:p>
      <w:pPr>
        <w:spacing w:line="360" w:lineRule="auto"/>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采购人：</w:t>
      </w:r>
      <w:bookmarkStart w:id="1" w:name="_Hlk144670896"/>
      <w:r>
        <w:rPr>
          <w:rFonts w:hint="default" w:ascii="Times New Roman" w:hAnsi="Times New Roman" w:eastAsia="仿宋" w:cs="Times New Roman"/>
          <w:b/>
          <w:color w:val="auto"/>
          <w:sz w:val="44"/>
          <w:szCs w:val="44"/>
        </w:rPr>
        <w:t>四川</w:t>
      </w:r>
      <w:r>
        <w:rPr>
          <w:rFonts w:hint="eastAsia" w:ascii="Times New Roman" w:hAnsi="Times New Roman" w:eastAsia="仿宋" w:cs="Times New Roman"/>
          <w:b/>
          <w:color w:val="auto"/>
          <w:sz w:val="44"/>
          <w:szCs w:val="44"/>
          <w:lang w:val="en-US" w:eastAsia="zh-CN"/>
        </w:rPr>
        <w:t>广源达建设工程</w:t>
      </w:r>
      <w:r>
        <w:rPr>
          <w:rFonts w:hint="default" w:ascii="Times New Roman" w:hAnsi="Times New Roman" w:eastAsia="仿宋" w:cs="Times New Roman"/>
          <w:b/>
          <w:color w:val="auto"/>
          <w:sz w:val="44"/>
          <w:szCs w:val="44"/>
        </w:rPr>
        <w:t>有限公司</w:t>
      </w:r>
      <w:bookmarkEnd w:id="1"/>
    </w:p>
    <w:p>
      <w:pPr>
        <w:jc w:val="center"/>
        <w:rPr>
          <w:rFonts w:hint="default" w:ascii="Times New Roman" w:hAnsi="Times New Roman" w:eastAsia="仿宋" w:cs="Times New Roman"/>
          <w:b/>
          <w:bCs/>
          <w:color w:val="auto"/>
          <w:sz w:val="44"/>
          <w:szCs w:val="44"/>
          <w:lang w:val="zh-CN"/>
        </w:rPr>
      </w:pPr>
      <w:r>
        <w:rPr>
          <w:rFonts w:hint="default" w:ascii="Times New Roman" w:hAnsi="Times New Roman" w:eastAsia="仿宋" w:cs="Times New Roman"/>
          <w:b/>
          <w:color w:val="auto"/>
          <w:sz w:val="44"/>
          <w:szCs w:val="44"/>
        </w:rPr>
        <w:t>202</w:t>
      </w:r>
      <w:r>
        <w:rPr>
          <w:rFonts w:hint="eastAsia" w:ascii="Times New Roman" w:hAnsi="Times New Roman" w:eastAsia="仿宋" w:cs="Times New Roman"/>
          <w:b/>
          <w:color w:val="auto"/>
          <w:sz w:val="44"/>
          <w:szCs w:val="44"/>
          <w:lang w:val="en-US" w:eastAsia="zh-CN"/>
        </w:rPr>
        <w:t>4</w:t>
      </w:r>
      <w:r>
        <w:rPr>
          <w:rFonts w:hint="default" w:ascii="Times New Roman" w:hAnsi="Times New Roman" w:eastAsia="仿宋" w:cs="Times New Roman"/>
          <w:b/>
          <w:bCs/>
          <w:color w:val="auto"/>
          <w:sz w:val="44"/>
          <w:szCs w:val="44"/>
          <w:lang w:val="zh-CN"/>
        </w:rPr>
        <w:t>年</w:t>
      </w:r>
      <w:r>
        <w:rPr>
          <w:rFonts w:hint="eastAsia" w:ascii="Times New Roman" w:hAnsi="Times New Roman" w:eastAsia="仿宋" w:cs="Times New Roman"/>
          <w:b/>
          <w:bCs/>
          <w:color w:val="auto"/>
          <w:sz w:val="44"/>
          <w:szCs w:val="44"/>
          <w:lang w:val="en-US" w:eastAsia="zh-CN"/>
        </w:rPr>
        <w:t>3</w:t>
      </w:r>
      <w:r>
        <w:rPr>
          <w:rFonts w:hint="default" w:ascii="Times New Roman" w:hAnsi="Times New Roman" w:eastAsia="仿宋" w:cs="Times New Roman"/>
          <w:b/>
          <w:bCs/>
          <w:color w:val="auto"/>
          <w:sz w:val="44"/>
          <w:szCs w:val="44"/>
          <w:lang w:val="zh-CN"/>
        </w:rPr>
        <w:t>月</w:t>
      </w:r>
    </w:p>
    <w:p>
      <w:pPr>
        <w:jc w:val="center"/>
        <w:rPr>
          <w:rFonts w:hint="default" w:ascii="Times New Roman" w:hAnsi="Times New Roman" w:eastAsia="仿宋" w:cs="Times New Roman"/>
          <w:b/>
          <w:bCs/>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pPr>
            <w:spacing w:line="360" w:lineRule="auto"/>
            <w:jc w:val="left"/>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8</w:t>
          </w:r>
        </w:p>
        <w:p>
          <w:pPr>
            <w:spacing w:line="360" w:lineRule="auto"/>
            <w:jc w:val="left"/>
            <w:rPr>
              <w:rFonts w:hint="eastAsia" w:ascii="Times New Roman" w:hAnsi="Times New Roman" w:eastAsia="仿宋" w:cs="Times New Roman"/>
              <w:b/>
              <w:bCs/>
              <w:caps/>
              <w:color w:val="auto"/>
              <w:sz w:val="24"/>
              <w:szCs w:val="24"/>
              <w:lang w:eastAsia="zh-CN"/>
            </w:rPr>
          </w:pPr>
          <w:r>
            <w:rPr>
              <w:rFonts w:hint="default" w:ascii="Times New Roman" w:hAnsi="Times New Roman" w:eastAsia="仿宋" w:cs="Times New Roman"/>
              <w:b/>
              <w:bCs/>
              <w:caps/>
              <w:color w:val="auto"/>
              <w:sz w:val="24"/>
              <w:szCs w:val="24"/>
            </w:rPr>
            <w:t>第</w:t>
          </w:r>
          <w:r>
            <w:rPr>
              <w:rFonts w:hint="eastAsia" w:ascii="Times New Roman" w:hAnsi="Times New Roman" w:eastAsia="仿宋" w:cs="Times New Roman"/>
              <w:b/>
              <w:bCs/>
              <w:caps/>
              <w:color w:val="auto"/>
              <w:sz w:val="24"/>
              <w:szCs w:val="24"/>
              <w:lang w:val="en-US" w:eastAsia="zh-CN"/>
            </w:rPr>
            <w:t>四</w:t>
          </w:r>
          <w:r>
            <w:rPr>
              <w:rFonts w:hint="default" w:ascii="Times New Roman" w:hAnsi="Times New Roman" w:eastAsia="仿宋" w:cs="Times New Roman"/>
              <w:b/>
              <w:bCs/>
              <w:caps/>
              <w:color w:val="auto"/>
              <w:sz w:val="24"/>
              <w:szCs w:val="24"/>
            </w:rPr>
            <w:t>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eastAsia" w:ascii="Times New Roman" w:hAnsi="Times New Roman" w:eastAsia="仿宋" w:cs="Times New Roman"/>
              <w:b/>
              <w:bCs/>
              <w:caps/>
              <w:color w:val="auto"/>
              <w:sz w:val="24"/>
              <w:szCs w:val="24"/>
              <w:lang w:val="en-US" w:eastAsia="zh-CN"/>
            </w:rPr>
            <w:t>9</w:t>
          </w:r>
        </w:p>
        <w:p>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pPr>
        <w:spacing w:line="360" w:lineRule="auto"/>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pStyle w:val="2"/>
        <w:jc w:val="both"/>
        <w:rPr>
          <w:rFonts w:hint="default" w:ascii="Times New Roman" w:hAnsi="Times New Roman" w:eastAsia="仿宋" w:cs="Times New Roman"/>
          <w:color w:val="auto"/>
          <w:sz w:val="32"/>
          <w:szCs w:val="32"/>
        </w:rPr>
      </w:pPr>
      <w:bookmarkStart w:id="2" w:name="_Hlt101233737"/>
      <w:bookmarkEnd w:id="2"/>
      <w:bookmarkStart w:id="3" w:name="_Hlt101843627"/>
      <w:bookmarkEnd w:id="3"/>
      <w:bookmarkStart w:id="4" w:name="_Toc23355"/>
      <w:bookmarkStart w:id="5" w:name="_Toc26975438"/>
      <w:bookmarkStart w:id="6" w:name="_Toc5869720"/>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bookmarkEnd w:id="4"/>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 w:val="32"/>
          <w:szCs w:val="32"/>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pPr>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u w:val="none"/>
          <w:lang w:val="en-US" w:eastAsia="zh-CN"/>
        </w:rPr>
        <w:t xml:space="preserve">    </w:t>
      </w:r>
      <w:r>
        <w:rPr>
          <w:rFonts w:hint="default" w:ascii="Times New Roman" w:hAnsi="Times New Roman" w:eastAsia="仿宋" w:cs="Times New Roman"/>
          <w:color w:val="auto"/>
          <w:szCs w:val="21"/>
          <w:u w:val="single"/>
        </w:rPr>
        <w:t>四川</w:t>
      </w:r>
      <w:r>
        <w:rPr>
          <w:rFonts w:hint="eastAsia" w:ascii="Times New Roman" w:hAnsi="Times New Roman" w:eastAsia="仿宋" w:cs="Times New Roman"/>
          <w:color w:val="auto"/>
          <w:szCs w:val="21"/>
          <w:u w:val="single"/>
          <w:lang w:val="en-US" w:eastAsia="zh-CN"/>
        </w:rPr>
        <w:t>广源达</w:t>
      </w:r>
      <w:r>
        <w:rPr>
          <w:rFonts w:hint="default" w:ascii="Times New Roman" w:hAnsi="Times New Roman" w:eastAsia="仿宋" w:cs="Times New Roman"/>
          <w:color w:val="auto"/>
          <w:szCs w:val="21"/>
          <w:u w:val="single"/>
        </w:rPr>
        <w:t>建设工程有限公司</w:t>
      </w:r>
      <w:r>
        <w:rPr>
          <w:rFonts w:hint="default" w:ascii="Times New Roman" w:hAnsi="Times New Roman" w:eastAsia="仿宋" w:cs="Times New Roman"/>
          <w:color w:val="auto"/>
          <w:szCs w:val="21"/>
        </w:rPr>
        <w:t>就</w:t>
      </w:r>
      <w:r>
        <w:rPr>
          <w:rFonts w:hint="default" w:ascii="Times New Roman" w:hAnsi="Times New Roman" w:eastAsia="仿宋" w:cs="Times New Roman"/>
          <w:color w:val="auto"/>
          <w:szCs w:val="21"/>
          <w:u w:val="single"/>
        </w:rPr>
        <w:t>合江县甘竹路（甘雨至石龙段）改建工程</w:t>
      </w:r>
      <w:r>
        <w:rPr>
          <w:rFonts w:hint="eastAsia" w:ascii="Times New Roman" w:hAnsi="Times New Roman" w:eastAsia="仿宋" w:cs="Times New Roman"/>
          <w:color w:val="auto"/>
          <w:szCs w:val="21"/>
          <w:u w:val="single"/>
          <w:lang w:val="en-US" w:eastAsia="zh-CN"/>
        </w:rPr>
        <w:t>建筑工程</w:t>
      </w:r>
      <w:r>
        <w:rPr>
          <w:rFonts w:hint="default" w:ascii="Times New Roman" w:hAnsi="Times New Roman" w:eastAsia="仿宋" w:cs="Times New Roman"/>
          <w:color w:val="auto"/>
          <w:szCs w:val="21"/>
          <w:u w:val="single"/>
        </w:rPr>
        <w:t>一切险</w:t>
      </w:r>
      <w:r>
        <w:rPr>
          <w:rFonts w:hint="eastAsia" w:ascii="Times New Roman" w:hAnsi="Times New Roman" w:eastAsia="仿宋" w:cs="Times New Roman"/>
          <w:color w:val="auto"/>
          <w:szCs w:val="21"/>
          <w:u w:val="single"/>
          <w:lang w:eastAsia="zh-CN"/>
        </w:rPr>
        <w:t>（</w:t>
      </w:r>
      <w:r>
        <w:rPr>
          <w:rFonts w:hint="eastAsia" w:ascii="Times New Roman" w:hAnsi="Times New Roman" w:eastAsia="仿宋" w:cs="Times New Roman"/>
          <w:color w:val="auto"/>
          <w:szCs w:val="21"/>
          <w:u w:val="single"/>
          <w:lang w:val="en-US" w:eastAsia="zh-CN"/>
        </w:rPr>
        <w:t>2</w:t>
      </w:r>
      <w:r>
        <w:rPr>
          <w:rFonts w:hint="eastAsia" w:ascii="Times New Roman" w:hAnsi="Times New Roman" w:eastAsia="仿宋" w:cs="Times New Roman"/>
          <w:color w:val="auto"/>
          <w:szCs w:val="21"/>
          <w:u w:val="single"/>
          <w:lang w:eastAsia="zh-CN"/>
        </w:rPr>
        <w:t>）</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default" w:ascii="Times New Roman" w:hAnsi="Times New Roman" w:eastAsia="仿宋" w:cs="Times New Roman"/>
          <w:color w:val="auto"/>
          <w:szCs w:val="21"/>
          <w:u w:val="single"/>
        </w:rPr>
        <w:t>合江县甘竹路（甘雨至石龙段）改建工程</w:t>
      </w:r>
      <w:r>
        <w:rPr>
          <w:rFonts w:hint="eastAsia" w:ascii="Times New Roman" w:hAnsi="Times New Roman" w:eastAsia="仿宋" w:cs="Times New Roman"/>
          <w:color w:val="auto"/>
          <w:szCs w:val="21"/>
          <w:u w:val="single"/>
          <w:lang w:val="en-US" w:eastAsia="zh-CN"/>
        </w:rPr>
        <w:t>建筑工程</w:t>
      </w:r>
      <w:r>
        <w:rPr>
          <w:rFonts w:hint="default" w:ascii="Times New Roman" w:hAnsi="Times New Roman" w:eastAsia="仿宋" w:cs="Times New Roman"/>
          <w:color w:val="auto"/>
          <w:szCs w:val="21"/>
          <w:u w:val="single"/>
        </w:rPr>
        <w:t>一切险</w:t>
      </w:r>
      <w:r>
        <w:rPr>
          <w:rFonts w:hint="eastAsia" w:ascii="Times New Roman" w:hAnsi="Times New Roman" w:eastAsia="仿宋" w:cs="Times New Roman"/>
          <w:color w:val="auto"/>
          <w:szCs w:val="21"/>
          <w:u w:val="single"/>
          <w:lang w:eastAsia="zh-CN"/>
        </w:rPr>
        <w:t>（</w:t>
      </w:r>
      <w:r>
        <w:rPr>
          <w:rFonts w:hint="eastAsia" w:ascii="Times New Roman" w:hAnsi="Times New Roman" w:eastAsia="仿宋" w:cs="Times New Roman"/>
          <w:color w:val="auto"/>
          <w:szCs w:val="21"/>
          <w:u w:val="single"/>
          <w:lang w:val="en-US" w:eastAsia="zh-CN"/>
        </w:rPr>
        <w:t>2</w:t>
      </w:r>
      <w:r>
        <w:rPr>
          <w:rFonts w:hint="eastAsia" w:ascii="Times New Roman" w:hAnsi="Times New Roman" w:eastAsia="仿宋" w:cs="Times New Roman"/>
          <w:color w:val="auto"/>
          <w:szCs w:val="21"/>
          <w:u w:val="single"/>
          <w:lang w:eastAsia="zh-CN"/>
        </w:rPr>
        <w:t>）</w:t>
      </w:r>
      <w:r>
        <w:rPr>
          <w:rFonts w:hint="default" w:ascii="Times New Roman" w:hAnsi="Times New Roman" w:eastAsia="仿宋" w:cs="Times New Roman"/>
          <w:color w:val="auto"/>
          <w:szCs w:val="21"/>
        </w:rPr>
        <w:t>询价采购</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 xml:space="preserve">2、资金来源：自筹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仿宋" w:cs="Times New Roman"/>
          <w:color w:val="auto"/>
          <w:szCs w:val="21"/>
          <w:lang w:val="en-US" w:eastAsia="zh-CN"/>
        </w:rPr>
        <w:t>152000</w:t>
      </w:r>
      <w:r>
        <w:rPr>
          <w:rFonts w:hint="default" w:ascii="Times New Roman" w:hAnsi="Times New Roman" w:eastAsia="仿宋" w:cs="Times New Roman"/>
          <w:color w:val="auto"/>
          <w:szCs w:val="21"/>
        </w:rPr>
        <w:t>元。</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：以合同约定为准</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2、资质要求：</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              </w:t>
      </w:r>
      <w:r>
        <w:rPr>
          <w:rFonts w:hint="default" w:ascii="Times New Roman" w:hAnsi="Times New Roman" w:eastAsia="仿宋" w:cs="Times New Roman"/>
          <w:color w:val="auto"/>
          <w:kern w:val="0"/>
          <w:szCs w:val="21"/>
          <w:u w:val="single"/>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四、询价响应文件递交截止时间及递交地点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docGrid w:type="lines" w:linePitch="312" w:charSpace="0"/>
        </w:sectPr>
      </w:pP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4</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3</w:t>
      </w:r>
      <w:r>
        <w:rPr>
          <w:rFonts w:hint="default" w:ascii="Times New Roman" w:hAnsi="Times New Roman" w:eastAsia="仿宋" w:cs="Times New Roman"/>
          <w:color w:val="auto"/>
          <w:kern w:val="0"/>
          <w:szCs w:val="21"/>
          <w:lang w:bidi="ar"/>
        </w:rPr>
        <w:t xml:space="preserve">月 </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15</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w:t>
      </w:r>
      <w:r>
        <w:rPr>
          <w:rFonts w:hint="default" w:ascii="Times New Roman" w:hAnsi="Times New Roman" w:eastAsia="仿宋" w:cs="Times New Roman"/>
          <w:color w:val="auto"/>
          <w:kern w:val="0"/>
          <w:szCs w:val="21"/>
          <w:u w:val="single"/>
          <w:lang w:bidi="ar"/>
        </w:rPr>
        <w:t xml:space="preserve">0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合江县荔城大道198号合江县政务大楼14楼四川占川项目管理咨询有限公司1408号办公室 。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四川</w:t>
      </w:r>
      <w:r>
        <w:rPr>
          <w:rFonts w:hint="eastAsia" w:ascii="Times New Roman" w:hAnsi="Times New Roman" w:eastAsia="仿宋" w:cs="Times New Roman"/>
          <w:b/>
          <w:color w:val="auto"/>
          <w:kern w:val="0"/>
          <w:szCs w:val="21"/>
          <w:lang w:val="en-US" w:eastAsia="zh-CN" w:bidi="ar"/>
        </w:rPr>
        <w:t>广源达</w:t>
      </w:r>
      <w:r>
        <w:rPr>
          <w:rFonts w:hint="default" w:ascii="Times New Roman" w:hAnsi="Times New Roman" w:eastAsia="仿宋" w:cs="Times New Roman"/>
          <w:b/>
          <w:color w:val="auto"/>
          <w:kern w:val="0"/>
          <w:szCs w:val="21"/>
          <w:lang w:bidi="ar"/>
        </w:rPr>
        <w:t xml:space="preserve">建设工程有限公司 </w:t>
      </w: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b/>
          <w:color w:val="auto"/>
          <w:kern w:val="0"/>
          <w:szCs w:val="21"/>
          <w:lang w:bidi="ar"/>
        </w:rPr>
        <w:t xml:space="preserve"> 合江县符阳街道红荔街55号</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val="en-US" w:eastAsia="zh-CN" w:bidi="ar"/>
        </w:rPr>
        <w:t>陈</w:t>
      </w:r>
      <w:r>
        <w:rPr>
          <w:rFonts w:hint="default" w:ascii="Times New Roman" w:hAnsi="Times New Roman" w:eastAsia="仿宋" w:cs="Times New Roman"/>
          <w:color w:val="auto"/>
          <w:kern w:val="0"/>
          <w:szCs w:val="21"/>
          <w:lang w:bidi="ar"/>
        </w:rPr>
        <w:t>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仿宋" w:cs="Times New Roman"/>
          <w:color w:val="auto"/>
          <w:kern w:val="0"/>
          <w:szCs w:val="21"/>
          <w:lang w:val="en-US" w:eastAsia="zh-CN" w:bidi="ar"/>
        </w:rPr>
        <w:t xml:space="preserve"> 0830-5100708</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w:t>
      </w:r>
      <w:r>
        <w:rPr>
          <w:rFonts w:hint="eastAsia" w:ascii="Times New Roman" w:hAnsi="Times New Roman" w:eastAsia="仿宋" w:cs="Times New Roman"/>
          <w:color w:val="auto"/>
          <w:kern w:val="0"/>
          <w:szCs w:val="21"/>
          <w:lang w:val="en-US" w:eastAsia="zh-CN" w:bidi="ar"/>
        </w:rPr>
        <w:t>4</w:t>
      </w:r>
      <w:r>
        <w:rPr>
          <w:rFonts w:hint="default" w:ascii="Times New Roman" w:hAnsi="Times New Roman" w:eastAsia="仿宋" w:cs="Times New Roman"/>
          <w:color w:val="auto"/>
          <w:kern w:val="0"/>
          <w:szCs w:val="21"/>
          <w:lang w:bidi="ar"/>
        </w:rPr>
        <w:t>年</w:t>
      </w:r>
      <w:r>
        <w:rPr>
          <w:rFonts w:hint="eastAsia" w:ascii="Times New Roman" w:hAnsi="Times New Roman" w:eastAsia="仿宋" w:cs="Times New Roman"/>
          <w:color w:val="auto"/>
          <w:kern w:val="0"/>
          <w:szCs w:val="21"/>
          <w:lang w:val="en-US" w:eastAsia="zh-CN" w:bidi="ar"/>
        </w:rPr>
        <w:t>03</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01</w:t>
      </w:r>
      <w:r>
        <w:rPr>
          <w:rFonts w:hint="default" w:ascii="Times New Roman" w:hAnsi="Times New Roman" w:eastAsia="仿宋" w:cs="Times New Roman"/>
          <w:color w:val="auto"/>
          <w:kern w:val="0"/>
          <w:szCs w:val="21"/>
          <w:lang w:bidi="ar"/>
        </w:rPr>
        <w:t>日</w:t>
      </w:r>
    </w:p>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7" w:name="_Toc213397009"/>
      <w:bookmarkStart w:id="8" w:name="_Toc213496267"/>
      <w:bookmarkStart w:id="9" w:name="_Toc213396945"/>
      <w:bookmarkStart w:id="10" w:name="_Toc213396759"/>
      <w:bookmarkStart w:id="11" w:name="_Toc217446031"/>
    </w:p>
    <w:p>
      <w:pPr>
        <w:pStyle w:val="2"/>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2" w:name="_Toc26975439"/>
      <w:bookmarkStart w:id="13" w:name="_Toc12414"/>
      <w:bookmarkStart w:id="14" w:name="_Toc5869721"/>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pPr>
        <w:pStyle w:val="3"/>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8"/>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pPr>
              <w:pStyle w:val="2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名称：四川</w:t>
            </w:r>
            <w:r>
              <w:rPr>
                <w:rFonts w:hint="eastAsia" w:ascii="Times New Roman" w:hAnsi="Times New Roman" w:eastAsia="仿宋" w:cs="Times New Roman"/>
                <w:color w:val="auto"/>
                <w:szCs w:val="21"/>
                <w:lang w:val="en-US" w:eastAsia="zh-CN"/>
              </w:rPr>
              <w:t>广源达</w:t>
            </w:r>
            <w:r>
              <w:rPr>
                <w:rFonts w:hint="default" w:ascii="Times New Roman" w:hAnsi="Times New Roman" w:eastAsia="仿宋" w:cs="Times New Roman"/>
                <w:color w:val="auto"/>
                <w:szCs w:val="21"/>
              </w:rPr>
              <w:t>建设工程有限公司  地址：合江县符阳街道红荔街55号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合江县甘竹路（甘雨至石龙段）改建</w:t>
            </w:r>
            <w:r>
              <w:rPr>
                <w:rFonts w:hint="default" w:ascii="Times New Roman" w:hAnsi="Times New Roman" w:eastAsia="仿宋" w:cs="Times New Roman"/>
                <w:color w:val="auto"/>
                <w:szCs w:val="21"/>
                <w:lang w:val="en-US" w:eastAsia="zh-CN"/>
              </w:rPr>
              <w:t>工程</w:t>
            </w:r>
            <w:r>
              <w:rPr>
                <w:rFonts w:hint="eastAsia" w:ascii="Times New Roman" w:hAnsi="Times New Roman" w:eastAsia="仿宋" w:cs="Times New Roman"/>
                <w:color w:val="auto"/>
                <w:szCs w:val="21"/>
                <w:lang w:val="en-US" w:eastAsia="zh-CN"/>
              </w:rPr>
              <w:t>建筑工程</w:t>
            </w:r>
            <w:r>
              <w:rPr>
                <w:rFonts w:hint="default" w:ascii="Times New Roman" w:hAnsi="Times New Roman" w:eastAsia="仿宋" w:cs="Times New Roman"/>
                <w:color w:val="auto"/>
                <w:szCs w:val="21"/>
                <w:lang w:val="en-US" w:eastAsia="zh-CN"/>
              </w:rPr>
              <w:t>一</w:t>
            </w:r>
            <w:r>
              <w:rPr>
                <w:rFonts w:hint="default" w:ascii="Times New Roman" w:hAnsi="Times New Roman" w:eastAsia="仿宋" w:cs="Times New Roman"/>
                <w:color w:val="auto"/>
                <w:szCs w:val="21"/>
              </w:rPr>
              <w:t>切险</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2</w:t>
            </w:r>
            <w:r>
              <w:rPr>
                <w:rFonts w:hint="eastAsia" w:ascii="Times New Roman" w:hAnsi="Times New Roman" w:eastAsia="仿宋" w:cs="Times New Roman"/>
                <w:color w:val="auto"/>
                <w:szCs w:val="21"/>
                <w:lang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资质要求：</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78" w:hRule="exact"/>
          <w:jc w:val="center"/>
        </w:trPr>
        <w:tc>
          <w:tcPr>
            <w:tcW w:w="567" w:type="dxa"/>
            <w:vAlign w:val="center"/>
          </w:tcPr>
          <w:p>
            <w:pPr>
              <w:pStyle w:val="28"/>
              <w:ind w:left="38"/>
              <w:jc w:val="center"/>
              <w:rPr>
                <w:rFonts w:hint="eastAsia"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w:t>
            </w:r>
          </w:p>
          <w:p>
            <w:pPr>
              <w:pStyle w:val="28"/>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14</w:t>
            </w:r>
          </w:p>
          <w:p>
            <w:pPr>
              <w:pStyle w:val="28"/>
              <w:ind w:left="38"/>
              <w:jc w:val="center"/>
              <w:rPr>
                <w:rFonts w:hint="eastAsia" w:ascii="Times New Roman" w:hAnsi="Times New Roman" w:eastAsia="仿宋" w:cs="Times New Roman"/>
                <w:color w:val="auto"/>
                <w:sz w:val="21"/>
                <w:szCs w:val="21"/>
                <w:lang w:val="zh-CN"/>
              </w:rPr>
            </w:pPr>
          </w:p>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4</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pPr>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rPr>
              <w:t>路线主线长 6.579 公里，本项目全线采用三级公路技术标准，路面采用沥青混凝土路面，设计速度 30km/h,路基宽度 7.5m,在确保安全的情况下，局部困难路段灵活运用技术指标。建设规模范围内的涉及路基、路面、安全设施及预埋管线、绿化及环境保护设施等全部工程项目及安保工程等附属设施。</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w:t>
            </w:r>
            <w:r>
              <w:rPr>
                <w:rFonts w:hint="eastAsia" w:ascii="Times New Roman" w:hAnsi="Times New Roman" w:eastAsia="仿宋" w:cs="Times New Roman"/>
                <w:color w:val="auto"/>
                <w:szCs w:val="21"/>
                <w:lang w:val="en-US" w:eastAsia="zh-CN"/>
              </w:rPr>
              <w:t>152000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壹拾伍万贰仟元整</w:t>
            </w:r>
            <w:r>
              <w:rPr>
                <w:rFonts w:hint="default" w:ascii="Times New Roman" w:hAnsi="Times New Roman" w:eastAsia="仿宋" w:cs="Times New Roman"/>
                <w:color w:val="auto"/>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r>
    </w:tbl>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6.1 履约保证金金额：</w:t>
      </w:r>
      <w:r>
        <w:rPr>
          <w:rFonts w:hint="eastAsia" w:ascii="Times New Roman" w:hAnsi="Times New Roman" w:eastAsia="仿宋" w:cs="Times New Roman"/>
          <w:color w:val="FF0000"/>
          <w:szCs w:val="21"/>
          <w:u w:val="single"/>
          <w:lang w:val="en-US" w:eastAsia="zh-CN"/>
        </w:rPr>
        <w:t>/</w:t>
      </w:r>
      <w:r>
        <w:rPr>
          <w:rFonts w:hint="default" w:ascii="Times New Roman" w:hAnsi="Times New Roman" w:eastAsia="仿宋" w:cs="Times New Roman"/>
          <w:color w:val="auto"/>
          <w:szCs w:val="21"/>
          <w:u w:val="single"/>
        </w:rPr>
        <w:t>。</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pPr>
        <w:numPr>
          <w:ilvl w:val="0"/>
          <w:numId w:val="2"/>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pPr>
        <w:spacing w:line="336" w:lineRule="auto"/>
        <w:ind w:firstLine="420" w:firstLineChars="200"/>
        <w:rPr>
          <w:rFonts w:hint="default" w:ascii="Times New Roman" w:hAnsi="Times New Roman" w:eastAsia="仿宋" w:cs="Times New Roman"/>
          <w:color w:val="auto"/>
          <w:szCs w:val="21"/>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center"/>
        <w:rPr>
          <w:rFonts w:hint="eastAsia"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t>采购清单</w:t>
      </w:r>
    </w:p>
    <w:tbl>
      <w:tblPr>
        <w:tblStyle w:val="22"/>
        <w:tblpPr w:leftFromText="180" w:rightFromText="180" w:vertAnchor="text" w:horzAnchor="page" w:tblpX="1542" w:tblpY="171"/>
        <w:tblOverlap w:val="never"/>
        <w:tblW w:w="9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365"/>
        <w:gridCol w:w="1896"/>
        <w:gridCol w:w="845"/>
        <w:gridCol w:w="641"/>
        <w:gridCol w:w="1146"/>
        <w:gridCol w:w="1241"/>
        <w:gridCol w:w="1200"/>
        <w:gridCol w:w="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66"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序号</w:t>
            </w:r>
          </w:p>
        </w:tc>
        <w:tc>
          <w:tcPr>
            <w:tcW w:w="1365"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名称</w:t>
            </w:r>
          </w:p>
        </w:tc>
        <w:tc>
          <w:tcPr>
            <w:tcW w:w="1896" w:type="dxa"/>
            <w:vAlign w:val="center"/>
          </w:tcPr>
          <w:p>
            <w:pPr>
              <w:widowControl/>
              <w:jc w:val="center"/>
              <w:textAlignment w:val="center"/>
              <w:rPr>
                <w:rFonts w:hint="eastAsia" w:ascii="Times New Roman" w:hAnsi="Times New Roman" w:eastAsia="仿宋" w:cs="Times New Roman"/>
                <w:sz w:val="24"/>
                <w:szCs w:val="24"/>
                <w:lang w:val="en-US" w:eastAsia="zh-CN"/>
              </w:rPr>
            </w:pPr>
            <w:r>
              <w:rPr>
                <w:rFonts w:hint="default" w:ascii="Times New Roman" w:hAnsi="Times New Roman" w:eastAsia="仿宋" w:cs="Times New Roman"/>
                <w:sz w:val="28"/>
                <w:szCs w:val="28"/>
              </w:rPr>
              <w:t>主要实施范围</w:t>
            </w:r>
          </w:p>
        </w:tc>
        <w:tc>
          <w:tcPr>
            <w:tcW w:w="845" w:type="dxa"/>
            <w:vAlign w:val="center"/>
          </w:tcPr>
          <w:p>
            <w:pPr>
              <w:widowControl/>
              <w:jc w:val="center"/>
              <w:textAlignment w:val="center"/>
              <w:rPr>
                <w:rFonts w:ascii="Times New Roman" w:hAnsi="Times New Roman" w:eastAsia="仿宋" w:cs="Times New Roman"/>
                <w:kern w:val="0"/>
                <w:sz w:val="22"/>
                <w:lang w:bidi="ar"/>
              </w:rPr>
            </w:pPr>
            <w:r>
              <w:rPr>
                <w:rFonts w:hint="eastAsia" w:ascii="Times New Roman" w:hAnsi="Times New Roman" w:eastAsia="仿宋" w:cs="Times New Roman"/>
                <w:sz w:val="24"/>
                <w:szCs w:val="24"/>
                <w:lang w:val="en-US" w:eastAsia="zh-CN"/>
              </w:rPr>
              <w:t>数量</w:t>
            </w:r>
          </w:p>
        </w:tc>
        <w:tc>
          <w:tcPr>
            <w:tcW w:w="641"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单位</w:t>
            </w:r>
          </w:p>
        </w:tc>
        <w:tc>
          <w:tcPr>
            <w:tcW w:w="1146" w:type="dxa"/>
            <w:vAlign w:val="center"/>
          </w:tcPr>
          <w:p>
            <w:pPr>
              <w:widowControl/>
              <w:jc w:val="center"/>
              <w:textAlignment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控制价</w:t>
            </w:r>
          </w:p>
          <w:p>
            <w:pPr>
              <w:widowControl/>
              <w:jc w:val="center"/>
              <w:textAlignment w:val="center"/>
              <w:rPr>
                <w:rFonts w:ascii="Times New Roman" w:hAnsi="Times New Roman" w:eastAsia="仿宋" w:cs="Times New Roman"/>
                <w:kern w:val="0"/>
                <w:sz w:val="24"/>
                <w:lang w:bidi="ar"/>
              </w:rPr>
            </w:pPr>
            <w:r>
              <w:rPr>
                <w:rFonts w:hint="eastAsia" w:ascii="Times New Roman" w:hAnsi="Times New Roman" w:eastAsia="仿宋" w:cs="Times New Roman"/>
                <w:sz w:val="24"/>
                <w:szCs w:val="24"/>
                <w:lang w:val="en-US" w:eastAsia="zh-CN"/>
              </w:rPr>
              <w:t>单价</w:t>
            </w:r>
            <w:r>
              <w:rPr>
                <w:rFonts w:hint="default" w:ascii="Times New Roman" w:hAnsi="Times New Roman" w:eastAsia="仿宋" w:cs="Times New Roman"/>
                <w:sz w:val="24"/>
                <w:szCs w:val="24"/>
              </w:rPr>
              <w:t>（元）</w:t>
            </w:r>
          </w:p>
        </w:tc>
        <w:tc>
          <w:tcPr>
            <w:tcW w:w="1241"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总价（元）</w:t>
            </w:r>
          </w:p>
        </w:tc>
        <w:tc>
          <w:tcPr>
            <w:tcW w:w="1200"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开票税率要求</w:t>
            </w:r>
          </w:p>
        </w:tc>
        <w:tc>
          <w:tcPr>
            <w:tcW w:w="700"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default" w:ascii="Times New Roman" w:hAnsi="Times New Roman" w:eastAsia="仿宋" w:cs="Times New Roman"/>
                <w:sz w:val="24"/>
                <w:szCs w:val="24"/>
              </w:rPr>
              <w:t>1</w:t>
            </w:r>
          </w:p>
        </w:tc>
        <w:tc>
          <w:tcPr>
            <w:tcW w:w="1365" w:type="dxa"/>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color w:val="auto"/>
                <w:szCs w:val="21"/>
                <w:lang w:val="en-US" w:eastAsia="zh-CN"/>
              </w:rPr>
              <w:t>建筑工程</w:t>
            </w:r>
            <w:r>
              <w:rPr>
                <w:rFonts w:hint="default" w:ascii="Times New Roman" w:hAnsi="Times New Roman" w:eastAsia="仿宋" w:cs="Times New Roman"/>
                <w:color w:val="auto"/>
                <w:szCs w:val="21"/>
                <w:lang w:val="en-US" w:eastAsia="zh-CN"/>
              </w:rPr>
              <w:t>一</w:t>
            </w:r>
            <w:r>
              <w:rPr>
                <w:rFonts w:hint="default" w:ascii="Times New Roman" w:hAnsi="Times New Roman" w:eastAsia="仿宋" w:cs="Times New Roman"/>
                <w:color w:val="auto"/>
                <w:szCs w:val="21"/>
              </w:rPr>
              <w:t>切险</w:t>
            </w:r>
          </w:p>
        </w:tc>
        <w:tc>
          <w:tcPr>
            <w:tcW w:w="1896" w:type="dxa"/>
            <w:vAlign w:val="center"/>
          </w:tcPr>
          <w:p>
            <w:pPr>
              <w:widowControl/>
              <w:jc w:val="center"/>
              <w:textAlignment w:val="center"/>
              <w:rPr>
                <w:rFonts w:hint="eastAsia" w:ascii="Times New Roman" w:hAnsi="Times New Roman" w:eastAsia="仿宋" w:cs="Times New Roman"/>
                <w:sz w:val="24"/>
                <w:szCs w:val="24"/>
                <w:lang w:val="en-US" w:eastAsia="zh-CN"/>
              </w:rPr>
            </w:pPr>
            <w:r>
              <w:rPr>
                <w:rFonts w:hint="default" w:ascii="Times New Roman" w:hAnsi="Times New Roman" w:eastAsia="仿宋" w:cs="Times New Roman"/>
                <w:color w:val="auto"/>
                <w:szCs w:val="21"/>
              </w:rPr>
              <w:t>合江县甘竹路（甘雨至石龙段）改建工程</w:t>
            </w:r>
          </w:p>
        </w:tc>
        <w:tc>
          <w:tcPr>
            <w:tcW w:w="845" w:type="dxa"/>
            <w:vAlign w:val="center"/>
          </w:tcPr>
          <w:p>
            <w:pPr>
              <w:widowControl/>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1</w:t>
            </w:r>
          </w:p>
        </w:tc>
        <w:tc>
          <w:tcPr>
            <w:tcW w:w="641" w:type="dxa"/>
            <w:vAlign w:val="center"/>
          </w:tcPr>
          <w:p>
            <w:pPr>
              <w:widowControl/>
              <w:jc w:val="center"/>
              <w:textAlignment w:val="center"/>
              <w:rPr>
                <w:rFonts w:hint="eastAsia" w:ascii="宋体" w:hAnsi="宋体" w:eastAsia="宋体" w:cs="宋体"/>
                <w:color w:val="000000"/>
                <w:sz w:val="22"/>
                <w:szCs w:val="22"/>
                <w:lang w:eastAsia="zh-CN"/>
              </w:rPr>
            </w:pPr>
            <w:r>
              <w:rPr>
                <w:rFonts w:hint="eastAsia" w:ascii="Times New Roman" w:hAnsi="Times New Roman" w:eastAsia="仿宋" w:cs="Times New Roman"/>
                <w:sz w:val="24"/>
                <w:szCs w:val="24"/>
                <w:lang w:val="en-US" w:eastAsia="zh-CN"/>
              </w:rPr>
              <w:t>项</w:t>
            </w:r>
          </w:p>
        </w:tc>
        <w:tc>
          <w:tcPr>
            <w:tcW w:w="1146" w:type="dxa"/>
            <w:vAlign w:val="center"/>
          </w:tcPr>
          <w:p>
            <w:pPr>
              <w:widowControl/>
              <w:jc w:val="center"/>
              <w:textAlignment w:val="center"/>
              <w:rPr>
                <w:rFonts w:hint="default" w:ascii="仿宋" w:hAnsi="仿宋" w:eastAsia="仿宋" w:cs="仿宋"/>
                <w:sz w:val="24"/>
                <w:lang w:val="en-US"/>
              </w:rPr>
            </w:pPr>
            <w:r>
              <w:rPr>
                <w:rFonts w:hint="eastAsia" w:ascii="Times New Roman" w:hAnsi="Times New Roman" w:eastAsia="仿宋" w:cs="Times New Roman"/>
                <w:sz w:val="24"/>
                <w:szCs w:val="24"/>
                <w:lang w:val="en-US" w:eastAsia="zh-CN"/>
              </w:rPr>
              <w:t>152000</w:t>
            </w:r>
          </w:p>
        </w:tc>
        <w:tc>
          <w:tcPr>
            <w:tcW w:w="1241" w:type="dxa"/>
            <w:vAlign w:val="center"/>
          </w:tcPr>
          <w:p>
            <w:pPr>
              <w:keepNext w:val="0"/>
              <w:keepLines w:val="0"/>
              <w:widowControl/>
              <w:suppressLineNumbers w:val="0"/>
              <w:jc w:val="center"/>
              <w:textAlignment w:val="center"/>
              <w:rPr>
                <w:rFonts w:hint="default" w:ascii="Times New Roman" w:hAnsi="Times New Roman" w:cs="Times New Roman"/>
                <w:sz w:val="24"/>
                <w:lang w:val="en-US"/>
              </w:rPr>
            </w:pPr>
            <w:r>
              <w:rPr>
                <w:rFonts w:hint="eastAsia" w:ascii="宋体" w:hAnsi="宋体" w:cs="宋体"/>
                <w:i w:val="0"/>
                <w:iCs w:val="0"/>
                <w:color w:val="000000"/>
                <w:kern w:val="0"/>
                <w:sz w:val="24"/>
                <w:szCs w:val="24"/>
                <w:u w:val="none"/>
                <w:lang w:val="en-US" w:eastAsia="zh-CN" w:bidi="ar"/>
              </w:rPr>
              <w:t>152000</w:t>
            </w:r>
          </w:p>
        </w:tc>
        <w:tc>
          <w:tcPr>
            <w:tcW w:w="1200" w:type="dxa"/>
            <w:vAlign w:val="center"/>
          </w:tcPr>
          <w:p>
            <w:pPr>
              <w:widowControl/>
              <w:jc w:val="center"/>
              <w:textAlignment w:val="center"/>
              <w:rPr>
                <w:rFonts w:ascii="仿宋" w:hAnsi="仿宋" w:eastAsia="仿宋" w:cs="仿宋"/>
                <w:sz w:val="24"/>
              </w:rPr>
            </w:pPr>
          </w:p>
        </w:tc>
        <w:tc>
          <w:tcPr>
            <w:tcW w:w="700"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p>
        </w:tc>
        <w:tc>
          <w:tcPr>
            <w:tcW w:w="1365" w:type="dxa"/>
            <w:vAlign w:val="center"/>
          </w:tcPr>
          <w:p>
            <w:pPr>
              <w:widowControl/>
              <w:jc w:val="center"/>
              <w:textAlignment w:val="center"/>
              <w:rPr>
                <w:rFonts w:ascii="宋体" w:hAnsi="宋体" w:eastAsia="宋体" w:cs="宋体"/>
                <w:color w:val="000000"/>
                <w:sz w:val="22"/>
                <w:szCs w:val="22"/>
              </w:rPr>
            </w:pPr>
          </w:p>
        </w:tc>
        <w:tc>
          <w:tcPr>
            <w:tcW w:w="1896" w:type="dxa"/>
            <w:vAlign w:val="center"/>
          </w:tcPr>
          <w:p>
            <w:pPr>
              <w:widowControl/>
              <w:jc w:val="center"/>
              <w:textAlignment w:val="center"/>
              <w:rPr>
                <w:rFonts w:hint="eastAsia" w:ascii="Times New Roman" w:hAnsi="Times New Roman" w:eastAsia="仿宋" w:cs="Times New Roman"/>
                <w:sz w:val="24"/>
                <w:szCs w:val="24"/>
                <w:lang w:val="en-US" w:eastAsia="zh-CN"/>
              </w:rPr>
            </w:pPr>
          </w:p>
        </w:tc>
        <w:tc>
          <w:tcPr>
            <w:tcW w:w="845" w:type="dxa"/>
            <w:vAlign w:val="center"/>
          </w:tcPr>
          <w:p>
            <w:pPr>
              <w:widowControl/>
              <w:jc w:val="center"/>
              <w:textAlignment w:val="center"/>
              <w:rPr>
                <w:rFonts w:hint="default" w:ascii="仿宋" w:hAnsi="仿宋" w:eastAsia="仿宋" w:cs="仿宋"/>
                <w:sz w:val="24"/>
                <w:lang w:val="en-US"/>
              </w:rPr>
            </w:pPr>
          </w:p>
        </w:tc>
        <w:tc>
          <w:tcPr>
            <w:tcW w:w="641" w:type="dxa"/>
            <w:vAlign w:val="center"/>
          </w:tcPr>
          <w:p>
            <w:pPr>
              <w:widowControl/>
              <w:jc w:val="center"/>
              <w:textAlignment w:val="center"/>
              <w:rPr>
                <w:rFonts w:ascii="宋体" w:hAnsi="宋体" w:eastAsia="宋体" w:cs="宋体"/>
                <w:color w:val="000000"/>
                <w:sz w:val="22"/>
                <w:szCs w:val="22"/>
              </w:rPr>
            </w:pPr>
          </w:p>
        </w:tc>
        <w:tc>
          <w:tcPr>
            <w:tcW w:w="1146" w:type="dxa"/>
            <w:vAlign w:val="center"/>
          </w:tcPr>
          <w:p>
            <w:pPr>
              <w:widowControl/>
              <w:jc w:val="center"/>
              <w:textAlignment w:val="center"/>
              <w:rPr>
                <w:rFonts w:ascii="仿宋" w:hAnsi="仿宋" w:eastAsia="仿宋" w:cs="仿宋"/>
                <w:sz w:val="24"/>
              </w:rPr>
            </w:pPr>
          </w:p>
        </w:tc>
        <w:tc>
          <w:tcPr>
            <w:tcW w:w="1241" w:type="dxa"/>
            <w:vAlign w:val="center"/>
          </w:tcPr>
          <w:p>
            <w:pPr>
              <w:keepNext w:val="0"/>
              <w:keepLines w:val="0"/>
              <w:widowControl/>
              <w:suppressLineNumbers w:val="0"/>
              <w:jc w:val="center"/>
              <w:textAlignment w:val="center"/>
              <w:rPr>
                <w:rFonts w:ascii="Times New Roman" w:hAnsi="Times New Roman" w:cs="Times New Roman"/>
                <w:sz w:val="24"/>
              </w:rPr>
            </w:pPr>
          </w:p>
        </w:tc>
        <w:tc>
          <w:tcPr>
            <w:tcW w:w="1200" w:type="dxa"/>
            <w:vAlign w:val="center"/>
          </w:tcPr>
          <w:p>
            <w:pPr>
              <w:widowControl/>
              <w:jc w:val="center"/>
              <w:textAlignment w:val="center"/>
              <w:rPr>
                <w:rFonts w:ascii="仿宋" w:hAnsi="仿宋" w:eastAsia="仿宋" w:cs="仿宋"/>
                <w:sz w:val="24"/>
              </w:rPr>
            </w:pPr>
          </w:p>
        </w:tc>
        <w:tc>
          <w:tcPr>
            <w:tcW w:w="700"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666" w:type="dxa"/>
            <w:vAlign w:val="center"/>
          </w:tcPr>
          <w:p>
            <w:pPr>
              <w:widowControl/>
              <w:jc w:val="center"/>
              <w:textAlignment w:val="center"/>
              <w:rPr>
                <w:rFonts w:hint="eastAsia" w:ascii="Times New Roman" w:hAnsi="Times New Roman" w:eastAsia="仿宋" w:cs="Times New Roman"/>
                <w:sz w:val="24"/>
                <w:szCs w:val="24"/>
              </w:rPr>
            </w:pPr>
          </w:p>
        </w:tc>
        <w:tc>
          <w:tcPr>
            <w:tcW w:w="5893" w:type="dxa"/>
            <w:gridSpan w:val="5"/>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sz w:val="24"/>
                <w:szCs w:val="24"/>
              </w:rPr>
              <w:t>合计（元）</w:t>
            </w:r>
          </w:p>
        </w:tc>
        <w:tc>
          <w:tcPr>
            <w:tcW w:w="1241" w:type="dxa"/>
            <w:vAlign w:val="center"/>
          </w:tcPr>
          <w:p>
            <w:pPr>
              <w:widowControl/>
              <w:jc w:val="center"/>
              <w:textAlignment w:val="center"/>
              <w:rPr>
                <w:rFonts w:hint="default" w:ascii="Times New Roman" w:hAnsi="Times New Roman" w:cs="Times New Roman"/>
                <w:sz w:val="24"/>
                <w:lang w:val="en-US"/>
              </w:rPr>
            </w:pPr>
            <w:r>
              <w:rPr>
                <w:rFonts w:hint="eastAsia" w:ascii="Times New Roman" w:hAnsi="Times New Roman" w:eastAsia="仿宋" w:cs="Times New Roman"/>
                <w:sz w:val="24"/>
                <w:szCs w:val="24"/>
                <w:lang w:val="en-US" w:eastAsia="zh-CN"/>
              </w:rPr>
              <w:t>152000</w:t>
            </w:r>
          </w:p>
        </w:tc>
        <w:tc>
          <w:tcPr>
            <w:tcW w:w="1200" w:type="dxa"/>
            <w:vAlign w:val="center"/>
          </w:tcPr>
          <w:p>
            <w:pPr>
              <w:widowControl/>
              <w:jc w:val="center"/>
              <w:textAlignment w:val="center"/>
              <w:rPr>
                <w:rFonts w:ascii="仿宋" w:hAnsi="仿宋" w:eastAsia="仿宋" w:cs="仿宋"/>
                <w:sz w:val="24"/>
              </w:rPr>
            </w:pPr>
          </w:p>
        </w:tc>
        <w:tc>
          <w:tcPr>
            <w:tcW w:w="700" w:type="dxa"/>
            <w:vAlign w:val="center"/>
          </w:tcPr>
          <w:p>
            <w:pPr>
              <w:widowControl/>
              <w:jc w:val="center"/>
              <w:textAlignment w:val="center"/>
              <w:rPr>
                <w:rFonts w:ascii="Times New Roman" w:hAnsi="Times New Roman" w:cs="Times New Roman"/>
                <w:sz w:val="24"/>
              </w:rPr>
            </w:pPr>
          </w:p>
        </w:tc>
      </w:tr>
    </w:tbl>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备注： </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asciiTheme="minorHAnsi" w:hAnsiTheme="minorHAnsi" w:eastAsiaTheme="minorEastAsia" w:cstheme="minorBidi"/>
          <w:b w:val="0"/>
          <w:bCs w:val="0"/>
          <w:color w:val="000000"/>
          <w:kern w:val="2"/>
          <w:sz w:val="24"/>
          <w:szCs w:val="24"/>
          <w:lang w:val="en-US" w:eastAsia="zh-CN" w:bidi="ar-SA"/>
        </w:rPr>
        <w:t>1、</w:t>
      </w:r>
      <w:r>
        <w:rPr>
          <w:rFonts w:hint="eastAsia" w:cstheme="minorBidi"/>
          <w:b w:val="0"/>
          <w:bCs w:val="0"/>
          <w:color w:val="000000"/>
          <w:kern w:val="2"/>
          <w:sz w:val="24"/>
          <w:szCs w:val="24"/>
          <w:lang w:val="en-US" w:eastAsia="zh-CN" w:bidi="ar-SA"/>
        </w:rPr>
        <w:t>三者责任限额累计赔偿限额：8000000元，每次事故赔偿限额：4000000元，财产损失每次限额：300000</w:t>
      </w:r>
      <w:r>
        <w:rPr>
          <w:rFonts w:hint="eastAsia" w:cstheme="minorBidi"/>
          <w:b w:val="0"/>
          <w:bCs w:val="0"/>
          <w:color w:val="000000"/>
          <w:kern w:val="2"/>
          <w:sz w:val="24"/>
          <w:szCs w:val="24"/>
          <w:highlight w:val="none"/>
          <w:lang w:val="en-US" w:eastAsia="zh-CN" w:bidi="ar-SA"/>
        </w:rPr>
        <w:t>元。人身伤亡每次限额：4000000元，每人每次伤亡限额：1000000元。</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asciiTheme="minorHAnsi" w:hAnsiTheme="minorHAnsi" w:eastAsiaTheme="minorEastAsia" w:cstheme="minorBidi"/>
          <w:b w:val="0"/>
          <w:bCs w:val="0"/>
          <w:color w:val="000000"/>
          <w:kern w:val="2"/>
          <w:sz w:val="24"/>
          <w:szCs w:val="24"/>
          <w:lang w:val="en-US" w:eastAsia="zh-CN" w:bidi="ar-SA"/>
        </w:rPr>
        <w:t>2、</w:t>
      </w:r>
      <w:r>
        <w:rPr>
          <w:rFonts w:hint="eastAsia" w:cstheme="minorBidi"/>
          <w:b w:val="0"/>
          <w:bCs w:val="0"/>
          <w:color w:val="000000"/>
          <w:kern w:val="2"/>
          <w:sz w:val="24"/>
          <w:szCs w:val="24"/>
          <w:lang w:val="en-US" w:eastAsia="zh-CN" w:bidi="ar-SA"/>
        </w:rPr>
        <w:t>主险限额：建筑工程一切险及第三者责任险：每次赔偿限额：88000000元，累计责任限额：88000000元。</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asciiTheme="minorHAnsi" w:hAnsiTheme="minorHAnsi" w:eastAsiaTheme="minorEastAsia" w:cstheme="minorBidi"/>
          <w:b w:val="0"/>
          <w:bCs w:val="0"/>
          <w:color w:val="000000"/>
          <w:kern w:val="2"/>
          <w:sz w:val="24"/>
          <w:szCs w:val="24"/>
          <w:lang w:val="en-US" w:eastAsia="zh-CN" w:bidi="ar-SA"/>
        </w:rPr>
        <w:t>3、</w:t>
      </w:r>
      <w:r>
        <w:rPr>
          <w:rFonts w:hint="eastAsia" w:cstheme="minorBidi"/>
          <w:b w:val="0"/>
          <w:bCs w:val="0"/>
          <w:color w:val="000000"/>
          <w:kern w:val="2"/>
          <w:sz w:val="24"/>
          <w:szCs w:val="24"/>
          <w:lang w:val="en-US" w:eastAsia="zh-CN" w:bidi="ar-SA"/>
        </w:rPr>
        <w:t>免赔：</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3.1、本保险对地震的物质损失每次事故绝对免赔人民币100000元或损失金额的10%，以高者为准。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3.2、本保险对一般风险的物质损失每次事故绝对免赔人民币100000元或损失金额的10%，以高者为准。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3.3、本保险对特殊风险（指暴风、暴雨、洪水、滑坡、泥石流）的物质损失每次事故绝对免赔人民币100000元或损失金额的10%，以高者为准。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3.4、本保险对第三者财产损失每次事故绝对免赔人民币5000元或损失金额的10%，以高者为准。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4、特别约定：</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4.1、本保单三者伤亡每人每次限额1000000元（其中死亡残疾1000000元、意外医疗100000元）</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default" w:ascii="Times New Roman" w:hAnsi="Times New Roman" w:eastAsia="仿宋" w:cs="Times New Roman"/>
          <w:color w:val="auto"/>
          <w:sz w:val="24"/>
          <w:szCs w:val="24"/>
        </w:rPr>
      </w:pPr>
      <w:r>
        <w:rPr>
          <w:rFonts w:hint="eastAsia" w:cstheme="minorBidi"/>
          <w:b w:val="0"/>
          <w:bCs w:val="0"/>
          <w:color w:val="000000"/>
          <w:kern w:val="2"/>
          <w:sz w:val="24"/>
          <w:szCs w:val="24"/>
          <w:lang w:val="en-US" w:eastAsia="zh-CN" w:bidi="ar-SA"/>
        </w:rPr>
        <w:t xml:space="preserve">4.2、本保单不承保绿植责任。 </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jc w:val="center"/>
        <w:textAlignment w:val="auto"/>
        <w:rPr>
          <w:rFonts w:hint="default" w:ascii="Times New Roman" w:hAnsi="Times New Roman" w:eastAsia="仿宋" w:cs="Times New Roman"/>
          <w:b/>
          <w:bCs/>
          <w:color w:val="auto"/>
          <w:sz w:val="32"/>
          <w:szCs w:val="32"/>
        </w:rPr>
      </w:pP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jc w:val="center"/>
        <w:textAlignment w:val="auto"/>
        <w:rPr>
          <w:rFonts w:hint="default" w:ascii="Times New Roman" w:hAnsi="Times New Roman" w:eastAsia="仿宋" w:cs="Times New Roman"/>
          <w:b/>
          <w:bCs/>
          <w:color w:val="auto"/>
          <w:sz w:val="32"/>
          <w:szCs w:val="32"/>
        </w:rPr>
      </w:pP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jc w:val="center"/>
        <w:textAlignment w:val="auto"/>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both"/>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18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26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04"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
    <w:p/>
    <w:p/>
    <w:p/>
    <w:p>
      <w:pPr>
        <w:jc w:val="center"/>
        <w:rPr>
          <w:rFonts w:hint="default" w:ascii="Times New Roman" w:hAnsi="Times New Roman" w:eastAsia="仿宋" w:cs="Times New Roman"/>
          <w:color w:val="auto"/>
        </w:rPr>
      </w:pPr>
      <w:bookmarkStart w:id="15" w:name="_Toc21698"/>
      <w:bookmarkStart w:id="16" w:name="_Toc31016"/>
      <w:r>
        <w:rPr>
          <w:rStyle w:val="38"/>
          <w:rFonts w:hint="default" w:ascii="Times New Roman" w:hAnsi="Times New Roman" w:eastAsia="仿宋" w:cs="Times New Roman"/>
          <w:color w:val="auto"/>
          <w:sz w:val="32"/>
          <w:szCs w:val="32"/>
        </w:rPr>
        <w:t>第</w:t>
      </w:r>
      <w:r>
        <w:rPr>
          <w:rStyle w:val="38"/>
          <w:rFonts w:hint="eastAsia" w:ascii="Times New Roman" w:hAnsi="Times New Roman" w:eastAsia="仿宋" w:cs="Times New Roman"/>
          <w:color w:val="auto"/>
          <w:sz w:val="32"/>
          <w:szCs w:val="32"/>
          <w:lang w:val="en-US" w:eastAsia="zh-CN"/>
        </w:rPr>
        <w:t>四</w:t>
      </w:r>
      <w:r>
        <w:rPr>
          <w:rStyle w:val="38"/>
          <w:rFonts w:hint="default" w:ascii="Times New Roman" w:hAnsi="Times New Roman" w:eastAsia="仿宋" w:cs="Times New Roman"/>
          <w:color w:val="auto"/>
          <w:sz w:val="32"/>
          <w:szCs w:val="32"/>
        </w:rPr>
        <w:t>章 响应文件格式</w:t>
      </w:r>
      <w:bookmarkEnd w:id="15"/>
      <w:bookmarkEnd w:id="16"/>
    </w:p>
    <w:p>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pPr>
        <w:rPr>
          <w:rFonts w:hint="default" w:ascii="Times New Roman" w:hAnsi="Times New Roman" w:eastAsia="仿宋" w:cs="Times New Roman"/>
          <w:color w:val="auto"/>
          <w:u w:val="singl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pPr>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keepNext/>
        <w:keepLines/>
        <w:spacing w:before="260" w:after="260" w:line="416" w:lineRule="auto"/>
        <w:jc w:val="center"/>
        <w:outlineLvl w:val="1"/>
        <w:rPr>
          <w:rFonts w:hint="default" w:ascii="Times New Roman" w:hAnsi="Times New Roman" w:eastAsia="仿宋" w:cs="Times New Roman"/>
          <w:color w:val="auto"/>
          <w:sz w:val="32"/>
          <w:szCs w:val="32"/>
        </w:rPr>
      </w:pPr>
    </w:p>
    <w:p>
      <w:pPr>
        <w:keepNext/>
        <w:keepLines/>
        <w:numPr>
          <w:ilvl w:val="0"/>
          <w:numId w:val="3"/>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pPr>
        <w:pStyle w:val="3"/>
        <w:spacing w:line="360" w:lineRule="auto"/>
        <w:jc w:val="both"/>
        <w:rPr>
          <w:rFonts w:hint="default" w:ascii="Times New Roman" w:hAnsi="Times New Roman" w:eastAsia="仿宋" w:cs="Times New Roman"/>
          <w:b w:val="0"/>
          <w:bCs w:val="0"/>
          <w:color w:val="auto"/>
          <w:szCs w:val="21"/>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4"/>
          <w:szCs w:val="24"/>
        </w:rPr>
        <w:t>报价清单</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、其他内容</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、承诺函</w:t>
      </w:r>
    </w:p>
    <w:p>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color w:val="auto"/>
          <w:kern w:val="0"/>
          <w:sz w:val="28"/>
          <w:szCs w:val="28"/>
          <w:lang w:bidi="ar"/>
        </w:rPr>
        <w:t>一、询价响应函</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日 期：  年   月   日</w:t>
      </w:r>
    </w:p>
    <w:p>
      <w:pPr>
        <w:rPr>
          <w:rFonts w:hint="default" w:ascii="Times New Roman" w:hAnsi="Times New Roman" w:eastAsia="仿宋" w:cs="Times New Roman"/>
          <w:b/>
          <w:bCs/>
          <w:color w:val="auto"/>
          <w:sz w:val="24"/>
          <w:szCs w:val="24"/>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pStyle w:val="3"/>
        <w:spacing w:line="360" w:lineRule="auto"/>
        <w:jc w:val="center"/>
        <w:rPr>
          <w:rFonts w:hint="eastAsia" w:ascii="方正小标宋简体" w:hAnsi="方正小标宋简体" w:eastAsia="方正小标宋简体" w:cs="方正小标宋简体"/>
          <w:color w:val="auto"/>
          <w:sz w:val="24"/>
          <w:szCs w:val="24"/>
        </w:rPr>
      </w:pPr>
      <w:bookmarkStart w:id="17" w:name="_Toc4838"/>
      <w:bookmarkStart w:id="18" w:name="_Toc8041"/>
      <w:bookmarkStart w:id="19" w:name="_Toc15603"/>
      <w:bookmarkStart w:id="20" w:name="_Toc2126"/>
      <w:bookmarkStart w:id="21" w:name="_Toc27003"/>
      <w:r>
        <w:rPr>
          <w:rFonts w:hint="eastAsia" w:ascii="Times New Roman" w:hAnsi="Times New Roman" w:eastAsia="仿宋" w:cs="Times New Roman"/>
          <w:color w:val="auto"/>
          <w:sz w:val="24"/>
          <w:szCs w:val="24"/>
          <w:lang w:val="en-US" w:eastAsia="zh-CN"/>
        </w:rPr>
        <w:t>二、</w:t>
      </w:r>
      <w:r>
        <w:rPr>
          <w:rFonts w:hint="default" w:ascii="Times New Roman" w:hAnsi="Times New Roman" w:eastAsia="仿宋" w:cs="Times New Roman"/>
          <w:color w:val="auto"/>
          <w:sz w:val="24"/>
          <w:szCs w:val="24"/>
        </w:rPr>
        <w:t>报价清单</w:t>
      </w:r>
    </w:p>
    <w:tbl>
      <w:tblPr>
        <w:tblStyle w:val="22"/>
        <w:tblpPr w:leftFromText="180" w:rightFromText="180" w:vertAnchor="text" w:horzAnchor="page" w:tblpX="1542" w:tblpY="171"/>
        <w:tblOverlap w:val="never"/>
        <w:tblW w:w="86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365"/>
        <w:gridCol w:w="1950"/>
        <w:gridCol w:w="845"/>
        <w:gridCol w:w="838"/>
        <w:gridCol w:w="1303"/>
        <w:gridCol w:w="1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66"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序号</w:t>
            </w:r>
          </w:p>
        </w:tc>
        <w:tc>
          <w:tcPr>
            <w:tcW w:w="1365"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名称</w:t>
            </w:r>
          </w:p>
        </w:tc>
        <w:tc>
          <w:tcPr>
            <w:tcW w:w="1950" w:type="dxa"/>
            <w:vAlign w:val="center"/>
          </w:tcPr>
          <w:p>
            <w:pPr>
              <w:widowControl/>
              <w:jc w:val="center"/>
              <w:textAlignment w:val="center"/>
              <w:rPr>
                <w:rFonts w:ascii="Times New Roman" w:hAnsi="Times New Roman" w:eastAsia="仿宋" w:cs="Times New Roman"/>
                <w:kern w:val="0"/>
                <w:sz w:val="22"/>
                <w:lang w:bidi="ar"/>
              </w:rPr>
            </w:pPr>
            <w:r>
              <w:rPr>
                <w:rFonts w:hint="default" w:ascii="Times New Roman" w:hAnsi="Times New Roman" w:eastAsia="仿宋" w:cs="Times New Roman"/>
                <w:sz w:val="28"/>
                <w:szCs w:val="28"/>
              </w:rPr>
              <w:t>主要实施范围</w:t>
            </w:r>
          </w:p>
        </w:tc>
        <w:tc>
          <w:tcPr>
            <w:tcW w:w="845"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数量</w:t>
            </w:r>
          </w:p>
        </w:tc>
        <w:tc>
          <w:tcPr>
            <w:tcW w:w="838" w:type="dxa"/>
            <w:vAlign w:val="center"/>
          </w:tcPr>
          <w:p>
            <w:pPr>
              <w:widowControl/>
              <w:jc w:val="center"/>
              <w:textAlignment w:val="center"/>
              <w:rPr>
                <w:rFonts w:ascii="Times New Roman" w:hAnsi="Times New Roman" w:eastAsia="仿宋" w:cs="Times New Roman"/>
                <w:kern w:val="0"/>
                <w:sz w:val="24"/>
                <w:lang w:bidi="ar"/>
              </w:rPr>
            </w:pPr>
            <w:r>
              <w:rPr>
                <w:rFonts w:hint="eastAsia" w:ascii="Times New Roman" w:hAnsi="Times New Roman" w:eastAsia="仿宋" w:cs="Times New Roman"/>
                <w:sz w:val="24"/>
                <w:szCs w:val="24"/>
                <w:lang w:val="en-US" w:eastAsia="zh-CN"/>
              </w:rPr>
              <w:t>单位</w:t>
            </w:r>
          </w:p>
        </w:tc>
        <w:tc>
          <w:tcPr>
            <w:tcW w:w="1303"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单价</w:t>
            </w:r>
            <w:r>
              <w:rPr>
                <w:rFonts w:hint="default" w:ascii="Times New Roman" w:hAnsi="Times New Roman" w:eastAsia="仿宋" w:cs="Times New Roman"/>
                <w:sz w:val="24"/>
                <w:szCs w:val="24"/>
              </w:rPr>
              <w:t>（元）</w:t>
            </w:r>
          </w:p>
        </w:tc>
        <w:tc>
          <w:tcPr>
            <w:tcW w:w="1637"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default" w:ascii="Times New Roman" w:hAnsi="Times New Roman" w:eastAsia="仿宋" w:cs="Times New Roman"/>
                <w:sz w:val="24"/>
                <w:szCs w:val="24"/>
              </w:rPr>
              <w:t>1</w:t>
            </w:r>
          </w:p>
        </w:tc>
        <w:tc>
          <w:tcPr>
            <w:tcW w:w="1365" w:type="dxa"/>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color w:val="auto"/>
                <w:szCs w:val="21"/>
                <w:lang w:val="en-US" w:eastAsia="zh-CN"/>
              </w:rPr>
              <w:t>建筑工程</w:t>
            </w:r>
            <w:r>
              <w:rPr>
                <w:rFonts w:hint="default" w:ascii="Times New Roman" w:hAnsi="Times New Roman" w:eastAsia="仿宋" w:cs="Times New Roman"/>
                <w:color w:val="auto"/>
                <w:szCs w:val="21"/>
                <w:lang w:val="en-US" w:eastAsia="zh-CN"/>
              </w:rPr>
              <w:t>一</w:t>
            </w:r>
            <w:r>
              <w:rPr>
                <w:rFonts w:hint="default" w:ascii="Times New Roman" w:hAnsi="Times New Roman" w:eastAsia="仿宋" w:cs="Times New Roman"/>
                <w:color w:val="auto"/>
                <w:szCs w:val="21"/>
              </w:rPr>
              <w:t>切险</w:t>
            </w:r>
          </w:p>
        </w:tc>
        <w:tc>
          <w:tcPr>
            <w:tcW w:w="1950" w:type="dxa"/>
            <w:vAlign w:val="center"/>
          </w:tcPr>
          <w:p>
            <w:pPr>
              <w:widowControl/>
              <w:jc w:val="center"/>
              <w:textAlignment w:val="center"/>
              <w:rPr>
                <w:rFonts w:hint="eastAsia" w:ascii="仿宋" w:hAnsi="仿宋" w:eastAsia="仿宋" w:cs="仿宋"/>
                <w:sz w:val="24"/>
                <w:lang w:val="en-US" w:eastAsia="zh-CN"/>
              </w:rPr>
            </w:pPr>
            <w:r>
              <w:rPr>
                <w:rFonts w:hint="default" w:ascii="Times New Roman" w:hAnsi="Times New Roman" w:eastAsia="仿宋" w:cs="Times New Roman"/>
                <w:color w:val="auto"/>
                <w:szCs w:val="21"/>
              </w:rPr>
              <w:t>合江县甘竹路（甘雨至石龙段）改建工程</w:t>
            </w:r>
          </w:p>
        </w:tc>
        <w:tc>
          <w:tcPr>
            <w:tcW w:w="845" w:type="dxa"/>
            <w:vAlign w:val="center"/>
          </w:tcPr>
          <w:p>
            <w:pPr>
              <w:widowControl/>
              <w:jc w:val="center"/>
              <w:textAlignment w:val="center"/>
              <w:rPr>
                <w:rFonts w:hint="eastAsia" w:ascii="宋体" w:hAnsi="宋体" w:eastAsia="宋体" w:cs="宋体"/>
                <w:color w:val="000000"/>
                <w:sz w:val="22"/>
                <w:szCs w:val="22"/>
                <w:lang w:eastAsia="zh-CN"/>
              </w:rPr>
            </w:pPr>
            <w:r>
              <w:rPr>
                <w:rFonts w:hint="eastAsia" w:ascii="仿宋" w:hAnsi="仿宋" w:eastAsia="仿宋" w:cs="仿宋"/>
                <w:sz w:val="24"/>
                <w:lang w:val="en-US" w:eastAsia="zh-CN"/>
              </w:rPr>
              <w:t>1</w:t>
            </w:r>
          </w:p>
        </w:tc>
        <w:tc>
          <w:tcPr>
            <w:tcW w:w="838" w:type="dxa"/>
            <w:vAlign w:val="center"/>
          </w:tcPr>
          <w:p>
            <w:pPr>
              <w:widowControl/>
              <w:jc w:val="center"/>
              <w:textAlignment w:val="center"/>
              <w:rPr>
                <w:rFonts w:hint="default" w:ascii="仿宋" w:hAnsi="仿宋" w:eastAsia="仿宋" w:cs="仿宋"/>
                <w:sz w:val="24"/>
                <w:lang w:val="en-US"/>
              </w:rPr>
            </w:pPr>
            <w:r>
              <w:rPr>
                <w:rFonts w:hint="eastAsia" w:ascii="Times New Roman" w:hAnsi="Times New Roman" w:eastAsia="仿宋" w:cs="Times New Roman"/>
                <w:sz w:val="24"/>
                <w:szCs w:val="24"/>
                <w:lang w:val="en-US" w:eastAsia="zh-CN"/>
              </w:rPr>
              <w:t>项</w:t>
            </w:r>
          </w:p>
        </w:tc>
        <w:tc>
          <w:tcPr>
            <w:tcW w:w="1303" w:type="dxa"/>
            <w:vAlign w:val="center"/>
          </w:tcPr>
          <w:p>
            <w:pPr>
              <w:widowControl/>
              <w:jc w:val="center"/>
              <w:textAlignment w:val="center"/>
              <w:rPr>
                <w:rFonts w:hint="default" w:ascii="Times New Roman" w:hAnsi="Times New Roman" w:cs="Times New Roman"/>
                <w:sz w:val="24"/>
                <w:lang w:val="en-US"/>
              </w:rPr>
            </w:pPr>
          </w:p>
        </w:tc>
        <w:tc>
          <w:tcPr>
            <w:tcW w:w="1637" w:type="dxa"/>
            <w:vAlign w:val="center"/>
          </w:tcPr>
          <w:p>
            <w:pPr>
              <w:keepNext w:val="0"/>
              <w:keepLines w:val="0"/>
              <w:widowControl/>
              <w:suppressLineNumbers w:val="0"/>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p>
        </w:tc>
        <w:tc>
          <w:tcPr>
            <w:tcW w:w="1365" w:type="dxa"/>
            <w:vAlign w:val="center"/>
          </w:tcPr>
          <w:p>
            <w:pPr>
              <w:widowControl/>
              <w:jc w:val="center"/>
              <w:textAlignment w:val="center"/>
              <w:rPr>
                <w:rFonts w:ascii="宋体" w:hAnsi="宋体" w:eastAsia="宋体" w:cs="宋体"/>
                <w:color w:val="000000"/>
                <w:sz w:val="22"/>
                <w:szCs w:val="22"/>
              </w:rPr>
            </w:pPr>
          </w:p>
        </w:tc>
        <w:tc>
          <w:tcPr>
            <w:tcW w:w="1950" w:type="dxa"/>
            <w:vAlign w:val="center"/>
          </w:tcPr>
          <w:p>
            <w:pPr>
              <w:widowControl/>
              <w:jc w:val="center"/>
              <w:textAlignment w:val="center"/>
              <w:rPr>
                <w:rFonts w:hint="default" w:ascii="仿宋" w:hAnsi="仿宋" w:eastAsia="仿宋" w:cs="仿宋"/>
                <w:sz w:val="24"/>
                <w:lang w:val="en-US"/>
              </w:rPr>
            </w:pPr>
          </w:p>
        </w:tc>
        <w:tc>
          <w:tcPr>
            <w:tcW w:w="845" w:type="dxa"/>
            <w:vAlign w:val="center"/>
          </w:tcPr>
          <w:p>
            <w:pPr>
              <w:widowControl/>
              <w:jc w:val="center"/>
              <w:textAlignment w:val="center"/>
              <w:rPr>
                <w:rFonts w:ascii="宋体" w:hAnsi="宋体" w:eastAsia="宋体" w:cs="宋体"/>
                <w:color w:val="000000"/>
                <w:sz w:val="22"/>
                <w:szCs w:val="22"/>
              </w:rPr>
            </w:pPr>
          </w:p>
        </w:tc>
        <w:tc>
          <w:tcPr>
            <w:tcW w:w="838" w:type="dxa"/>
            <w:vAlign w:val="center"/>
          </w:tcPr>
          <w:p>
            <w:pPr>
              <w:widowControl/>
              <w:jc w:val="center"/>
              <w:textAlignment w:val="center"/>
              <w:rPr>
                <w:rFonts w:ascii="仿宋" w:hAnsi="仿宋" w:eastAsia="仿宋" w:cs="仿宋"/>
                <w:sz w:val="24"/>
              </w:rPr>
            </w:pPr>
          </w:p>
        </w:tc>
        <w:tc>
          <w:tcPr>
            <w:tcW w:w="1303" w:type="dxa"/>
            <w:vAlign w:val="center"/>
          </w:tcPr>
          <w:p>
            <w:pPr>
              <w:widowControl/>
              <w:jc w:val="center"/>
              <w:textAlignment w:val="center"/>
              <w:rPr>
                <w:rFonts w:ascii="Times New Roman" w:hAnsi="Times New Roman" w:cs="Times New Roman"/>
                <w:sz w:val="24"/>
              </w:rPr>
            </w:pPr>
          </w:p>
        </w:tc>
        <w:tc>
          <w:tcPr>
            <w:tcW w:w="1637" w:type="dxa"/>
            <w:vAlign w:val="center"/>
          </w:tcPr>
          <w:p>
            <w:pPr>
              <w:keepNext w:val="0"/>
              <w:keepLines w:val="0"/>
              <w:widowControl/>
              <w:suppressLineNumbers w:val="0"/>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666" w:type="dxa"/>
            <w:vAlign w:val="center"/>
          </w:tcPr>
          <w:p>
            <w:pPr>
              <w:widowControl/>
              <w:jc w:val="center"/>
              <w:textAlignment w:val="center"/>
              <w:rPr>
                <w:rFonts w:hint="eastAsia" w:ascii="Times New Roman" w:hAnsi="Times New Roman" w:eastAsia="仿宋" w:cs="Times New Roman"/>
                <w:sz w:val="24"/>
                <w:szCs w:val="24"/>
                <w:lang w:val="en-US" w:eastAsia="zh-CN"/>
              </w:rPr>
            </w:pPr>
          </w:p>
        </w:tc>
        <w:tc>
          <w:tcPr>
            <w:tcW w:w="6301" w:type="dxa"/>
            <w:gridSpan w:val="5"/>
            <w:vAlign w:val="center"/>
          </w:tcPr>
          <w:p>
            <w:pPr>
              <w:widowControl/>
              <w:jc w:val="center"/>
              <w:textAlignment w:val="center"/>
              <w:rPr>
                <w:rFonts w:hint="default" w:ascii="Times New Roman" w:hAnsi="Times New Roman" w:cs="Times New Roman"/>
                <w:sz w:val="24"/>
                <w:lang w:val="en-US"/>
              </w:rPr>
            </w:pPr>
            <w:r>
              <w:rPr>
                <w:rFonts w:hint="eastAsia" w:ascii="Times New Roman" w:hAnsi="Times New Roman" w:eastAsia="仿宋" w:cs="Times New Roman"/>
                <w:sz w:val="24"/>
                <w:szCs w:val="24"/>
              </w:rPr>
              <w:t>合计（元）</w:t>
            </w:r>
          </w:p>
        </w:tc>
        <w:tc>
          <w:tcPr>
            <w:tcW w:w="1637" w:type="dxa"/>
            <w:vAlign w:val="center"/>
          </w:tcPr>
          <w:p>
            <w:pPr>
              <w:widowControl/>
              <w:jc w:val="center"/>
              <w:textAlignment w:val="center"/>
              <w:rPr>
                <w:rFonts w:ascii="Times New Roman" w:hAnsi="Times New Roman" w:cs="Times New Roman"/>
                <w:sz w:val="24"/>
              </w:rPr>
            </w:pPr>
          </w:p>
        </w:tc>
      </w:tr>
    </w:tbl>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备注： </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asciiTheme="minorHAnsi" w:hAnsiTheme="minorHAnsi" w:eastAsiaTheme="minorEastAsia" w:cstheme="minorBidi"/>
          <w:b w:val="0"/>
          <w:bCs w:val="0"/>
          <w:color w:val="000000"/>
          <w:kern w:val="2"/>
          <w:sz w:val="24"/>
          <w:szCs w:val="24"/>
          <w:lang w:val="en-US" w:eastAsia="zh-CN" w:bidi="ar-SA"/>
        </w:rPr>
        <w:t>1、</w:t>
      </w:r>
      <w:r>
        <w:rPr>
          <w:rFonts w:hint="eastAsia" w:cstheme="minorBidi"/>
          <w:b w:val="0"/>
          <w:bCs w:val="0"/>
          <w:color w:val="000000"/>
          <w:kern w:val="2"/>
          <w:sz w:val="24"/>
          <w:szCs w:val="24"/>
          <w:lang w:val="en-US" w:eastAsia="zh-CN" w:bidi="ar-SA"/>
        </w:rPr>
        <w:t>三者责任限额累计赔偿限额：8000000元，每次事故赔偿限额：4000000元，财产损失每次限额：300000</w:t>
      </w:r>
      <w:r>
        <w:rPr>
          <w:rFonts w:hint="eastAsia" w:cstheme="minorBidi"/>
          <w:b w:val="0"/>
          <w:bCs w:val="0"/>
          <w:color w:val="000000"/>
          <w:kern w:val="2"/>
          <w:sz w:val="24"/>
          <w:szCs w:val="24"/>
          <w:highlight w:val="none"/>
          <w:lang w:val="en-US" w:eastAsia="zh-CN" w:bidi="ar-SA"/>
        </w:rPr>
        <w:t>元。人身伤亡每次限额：4000000元，每人每次伤亡限额：1000000元。</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asciiTheme="minorHAnsi" w:hAnsiTheme="minorHAnsi" w:eastAsiaTheme="minorEastAsia" w:cstheme="minorBidi"/>
          <w:b w:val="0"/>
          <w:bCs w:val="0"/>
          <w:color w:val="000000"/>
          <w:kern w:val="2"/>
          <w:sz w:val="24"/>
          <w:szCs w:val="24"/>
          <w:lang w:val="en-US" w:eastAsia="zh-CN" w:bidi="ar-SA"/>
        </w:rPr>
        <w:t>2、</w:t>
      </w:r>
      <w:r>
        <w:rPr>
          <w:rFonts w:hint="eastAsia" w:cstheme="minorBidi"/>
          <w:b w:val="0"/>
          <w:bCs w:val="0"/>
          <w:color w:val="000000"/>
          <w:kern w:val="2"/>
          <w:sz w:val="24"/>
          <w:szCs w:val="24"/>
          <w:lang w:val="en-US" w:eastAsia="zh-CN" w:bidi="ar-SA"/>
        </w:rPr>
        <w:t>主险限额：建筑工程一切险及第三者责任险：每次赔偿限额：88000000元，累计责任限额：88000000元。</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asciiTheme="minorHAnsi" w:hAnsiTheme="minorHAnsi" w:eastAsiaTheme="minorEastAsia" w:cstheme="minorBidi"/>
          <w:b w:val="0"/>
          <w:bCs w:val="0"/>
          <w:color w:val="000000"/>
          <w:kern w:val="2"/>
          <w:sz w:val="24"/>
          <w:szCs w:val="24"/>
          <w:lang w:val="en-US" w:eastAsia="zh-CN" w:bidi="ar-SA"/>
        </w:rPr>
        <w:t>3、</w:t>
      </w:r>
      <w:r>
        <w:rPr>
          <w:rFonts w:hint="eastAsia" w:cstheme="minorBidi"/>
          <w:b w:val="0"/>
          <w:bCs w:val="0"/>
          <w:color w:val="000000"/>
          <w:kern w:val="2"/>
          <w:sz w:val="24"/>
          <w:szCs w:val="24"/>
          <w:lang w:val="en-US" w:eastAsia="zh-CN" w:bidi="ar-SA"/>
        </w:rPr>
        <w:t>免赔：</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3.1、本保险对地震的物质损失每次事故绝对免赔人民币100000元或损失金额的10%，以高者为准。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3.2、本保险对一般风险的物质损失每次事故绝对免赔人民币100000元或损失金额的10%，以高者为准。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3.3、本保险对特殊风险（指暴风、暴雨、洪水、滑坡、泥石流）的物质损失每次事故绝对免赔人民币100000元或损失金额的10%，以高者为准。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3.4、本保险对第三者财产损失每次事故绝对免赔人民币5000元或损失金额的10%，以高者为准。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4、特别约定：</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4.1、本保单三者伤亡每人每次限额1000000元（其中死亡残疾1000000元、意外医疗100000元）</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default" w:ascii="Times New Roman" w:hAnsi="Times New Roman" w:eastAsia="仿宋" w:cs="Times New Roman"/>
          <w:color w:val="auto"/>
          <w:sz w:val="24"/>
          <w:szCs w:val="24"/>
        </w:rPr>
      </w:pPr>
      <w:r>
        <w:rPr>
          <w:rFonts w:hint="eastAsia" w:cstheme="minorBidi"/>
          <w:b w:val="0"/>
          <w:bCs w:val="0"/>
          <w:color w:val="000000"/>
          <w:kern w:val="2"/>
          <w:sz w:val="24"/>
          <w:szCs w:val="24"/>
          <w:lang w:val="en-US" w:eastAsia="zh-CN" w:bidi="ar-SA"/>
        </w:rPr>
        <w:t xml:space="preserve">4.2、本保单不承保绿植责任。 </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default" w:cstheme="minorBidi"/>
          <w:b w:val="0"/>
          <w:bCs w:val="0"/>
          <w:color w:val="000000"/>
          <w:kern w:val="2"/>
          <w:sz w:val="24"/>
          <w:szCs w:val="24"/>
          <w:lang w:val="en-US" w:eastAsia="zh-CN" w:bidi="ar-SA"/>
        </w:rPr>
      </w:pPr>
      <w:bookmarkStart w:id="22" w:name="_GoBack"/>
      <w:bookmarkEnd w:id="22"/>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keepNext w:val="0"/>
        <w:keepLines w:val="0"/>
        <w:pageBreakBefore w:val="0"/>
        <w:numPr>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336" w:lineRule="auto"/>
        <w:jc w:val="center"/>
        <w:textAlignment w:val="auto"/>
        <w:rPr>
          <w:rFonts w:hint="eastAsia" w:ascii="方正小标宋简体" w:hAnsi="方正小标宋简体" w:eastAsia="方正小标宋简体" w:cs="方正小标宋简体"/>
          <w:color w:val="auto"/>
          <w:sz w:val="24"/>
          <w:szCs w:val="24"/>
        </w:rPr>
      </w:pPr>
    </w:p>
    <w:bookmarkEnd w:id="17"/>
    <w:bookmarkEnd w:id="18"/>
    <w:bookmarkEnd w:id="19"/>
    <w:bookmarkEnd w:id="20"/>
    <w:bookmarkEnd w:id="21"/>
    <w:p>
      <w:pPr>
        <w:keepNext w:val="0"/>
        <w:keepLines w:val="0"/>
        <w:pageBreakBefore w:val="0"/>
        <w:numPr>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jc w:val="both"/>
        <w:textAlignment w:val="auto"/>
        <w:rPr>
          <w:rFonts w:hint="default" w:ascii="Times New Roman" w:hAnsi="Times New Roman" w:eastAsia="仿宋" w:cs="Times New Roman"/>
          <w:b/>
          <w:bCs/>
          <w:color w:val="auto"/>
          <w:kern w:val="2"/>
          <w:sz w:val="24"/>
          <w:szCs w:val="24"/>
          <w:lang w:val="en-US" w:eastAsia="zh-CN" w:bidi="ar-SA"/>
        </w:rPr>
      </w:pPr>
    </w:p>
    <w:p>
      <w:pPr>
        <w:keepNext w:val="0"/>
        <w:keepLines w:val="0"/>
        <w:pageBreakBefore w:val="0"/>
        <w:numPr>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jc w:val="both"/>
        <w:textAlignment w:val="auto"/>
        <w:rPr>
          <w:rFonts w:hint="default" w:ascii="Times New Roman" w:hAnsi="Times New Roman" w:eastAsia="仿宋" w:cs="Times New Roman"/>
          <w:b/>
          <w:bCs/>
          <w:color w:val="auto"/>
          <w:kern w:val="2"/>
          <w:sz w:val="24"/>
          <w:szCs w:val="24"/>
          <w:lang w:val="en-US" w:eastAsia="zh-CN" w:bidi="ar-SA"/>
        </w:rPr>
      </w:pPr>
    </w:p>
    <w:p>
      <w:pPr>
        <w:keepNext w:val="0"/>
        <w:keepLines w:val="0"/>
        <w:pageBreakBefore w:val="0"/>
        <w:numPr>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jc w:val="both"/>
        <w:textAlignment w:val="auto"/>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r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auto"/>
                <w:szCs w:val="21"/>
              </w:rPr>
            </w:pP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pPr>
              <w:jc w:val="center"/>
              <w:rPr>
                <w:rFonts w:hint="default" w:ascii="Times New Roman" w:hAnsi="Times New Roman" w:eastAsia="仿宋" w:cs="Times New Roman"/>
                <w:bCs/>
                <w:color w:val="auto"/>
                <w:szCs w:val="21"/>
              </w:rPr>
            </w:pPr>
          </w:p>
        </w:tc>
      </w:tr>
    </w:tbl>
    <w:p>
      <w:pPr>
        <w:adjustRightInd w:val="0"/>
        <w:snapToGrid w:val="0"/>
        <w:spacing w:line="300" w:lineRule="auto"/>
        <w:jc w:val="left"/>
        <w:rPr>
          <w:rFonts w:hint="default" w:ascii="Times New Roman" w:hAnsi="Times New Roman" w:eastAsia="仿宋" w:cs="Times New Roman"/>
          <w:color w:val="auto"/>
        </w:rPr>
      </w:pPr>
    </w:p>
    <w:p>
      <w:pPr>
        <w:adjustRightInd w:val="0"/>
        <w:snapToGrid w:val="0"/>
        <w:spacing w:line="300" w:lineRule="auto"/>
        <w:jc w:val="left"/>
        <w:rPr>
          <w:rFonts w:hint="default" w:ascii="Times New Roman" w:hAnsi="Times New Roman" w:eastAsia="仿宋" w:cs="Times New Roman"/>
          <w:b/>
          <w:bCs/>
          <w:color w:val="auto"/>
        </w:rPr>
      </w:pPr>
      <w:r>
        <w:rPr>
          <w:rFonts w:hint="default" w:ascii="Times New Roman" w:hAnsi="Times New Roman" w:eastAsia="仿宋" w:cs="Times New Roman"/>
          <w:b/>
          <w:bCs/>
          <w:color w:val="auto"/>
        </w:rPr>
        <w:t>注：（1）附营业执照、资格证书等响应人资格要求材料的复印件并加盖公章。</w:t>
      </w:r>
    </w:p>
    <w:p>
      <w:pPr>
        <w:jc w:val="center"/>
        <w:rPr>
          <w:rFonts w:hint="default" w:ascii="Times New Roman" w:hAnsi="Times New Roman" w:eastAsia="仿宋" w:cs="Times New Roman"/>
          <w:b/>
          <w:bCs/>
          <w:color w:val="auto"/>
          <w:sz w:val="24"/>
          <w:szCs w:val="24"/>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adjustRightInd w:val="0"/>
        <w:snapToGrid w:val="0"/>
        <w:spacing w:line="300" w:lineRule="auto"/>
        <w:jc w:val="left"/>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、其他内容</w:t>
      </w:r>
    </w:p>
    <w:p>
      <w:pPr>
        <w:pStyle w:val="5"/>
        <w:rPr>
          <w:rFonts w:hint="default" w:ascii="Times New Roman" w:hAnsi="Times New Roman" w:eastAsia="仿宋" w:cs="Times New Roman"/>
          <w:color w:val="auto"/>
        </w:rPr>
      </w:pPr>
      <w:r>
        <w:rPr>
          <w:rFonts w:hint="default" w:ascii="Times New Roman" w:hAnsi="Times New Roman" w:eastAsia="仿宋" w:cs="Times New Roman"/>
          <w:color w:val="auto"/>
        </w:rPr>
        <w:t>(询价文件要求提交的其他文件或供应商认为需补充说明的资料)：对采购项目一般技术和商务要求的响应；对采购需求、质量和服务的采购项目实质性要求的响应。</w:t>
      </w:r>
    </w:p>
    <w:p>
      <w:pP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br w:type="page"/>
      </w:r>
    </w:p>
    <w:p>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五</w:t>
      </w:r>
      <w:r>
        <w:rPr>
          <w:rFonts w:hint="default" w:ascii="Times New Roman" w:hAnsi="Times New Roman" w:eastAsia="仿宋" w:cs="Times New Roman"/>
          <w:b/>
          <w:color w:val="auto"/>
          <w:sz w:val="24"/>
          <w:szCs w:val="24"/>
        </w:rPr>
        <w:t>、承诺函</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spacing w:line="360" w:lineRule="auto"/>
        <w:ind w:firstLine="460" w:firstLineChars="200"/>
        <w:jc w:val="left"/>
        <w:rPr>
          <w:rFonts w:hint="default" w:ascii="Times New Roman" w:hAnsi="Times New Roman" w:eastAsia="仿宋" w:cs="Times New Roman"/>
          <w:color w:val="auto"/>
          <w:spacing w:val="10"/>
          <w:szCs w:val="21"/>
        </w:rPr>
      </w:pPr>
    </w:p>
    <w:p>
      <w:pPr>
        <w:pStyle w:val="5"/>
        <w:rPr>
          <w:rFonts w:hint="default" w:ascii="Times New Roman" w:hAnsi="Times New Roman" w:eastAsia="仿宋" w:cs="Times New Roman"/>
          <w:color w:val="auto"/>
        </w:rPr>
      </w:pPr>
    </w:p>
    <w:p>
      <w:pPr>
        <w:pStyle w:val="5"/>
        <w:spacing w:line="360" w:lineRule="auto"/>
        <w:ind w:firstLineChars="200"/>
        <w:rPr>
          <w:rFonts w:hint="default" w:ascii="Times New Roman" w:hAnsi="Times New Roman" w:eastAsia="仿宋" w:cs="Times New Roman"/>
          <w:color w:val="auto"/>
          <w:szCs w:val="21"/>
        </w:rPr>
      </w:pP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5"/>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5"/>
        <w:rPr>
          <w:rFonts w:hint="default" w:ascii="Times New Roman" w:hAnsi="Times New Roman" w:eastAsia="仿宋" w:cs="Times New Roman"/>
          <w:color w:val="auto"/>
        </w:rPr>
      </w:pPr>
    </w:p>
    <w:p>
      <w:pPr>
        <w:pStyle w:val="5"/>
        <w:rPr>
          <w:rFonts w:hint="default" w:ascii="Times New Roman" w:hAnsi="Times New Roman" w:eastAsia="仿宋" w:cs="Times New Roman"/>
          <w:color w:val="auto"/>
        </w:rPr>
      </w:pPr>
    </w:p>
    <w:p>
      <w:pPr>
        <w:rPr>
          <w:rFonts w:hint="default" w:ascii="Times New Roman" w:hAnsi="Times New Roman" w:eastAsia="仿宋" w:cs="Times New Roman"/>
          <w:color w:val="auto"/>
        </w:rPr>
      </w:pPr>
    </w:p>
    <w:sectPr>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lang w:val="en-US" w:eastAsia="zh-CN"/>
      </w:rPr>
    </w:pPr>
    <w:r>
      <w:rPr>
        <w:rFonts w:hint="eastAsia"/>
        <w:lang w:val="en-US" w:eastAsia="zh-CN"/>
      </w:rPr>
      <w:t xml:space="preserve">     </w:t>
    </w:r>
  </w:p>
  <w:p>
    <w:pPr>
      <w:pStyle w:val="8"/>
      <w:rPr>
        <w:rFonts w:hint="default"/>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rPr>
                        <w:rFonts w:hint="eastAsia"/>
                        <w:lang w:val="en-US" w:eastAsia="zh-CN"/>
                      </w:rPr>
                    </w:pPr>
                  </w:p>
                  <w:p>
                    <w:pPr>
                      <w:pStyle w:val="8"/>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clear" w:pos="4153"/>
      </w:tabs>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11</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lang w:val="en-US" w:eastAsia="zh-CN"/>
                      </w:rPr>
                    </w:pPr>
                  </w:p>
                  <w:p>
                    <w:pPr>
                      <w:pStyle w:val="8"/>
                      <w:rPr>
                        <w:rFonts w:hint="eastAsia"/>
                        <w:lang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4AB2BDB2"/>
    <w:multiLevelType w:val="singleLevel"/>
    <w:tmpl w:val="4AB2BDB2"/>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NjODc1YTFkYTkzMDRhNzNiOGRlZjQ3ODAwZDhlMTg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FE50A8"/>
    <w:rsid w:val="04B70A5B"/>
    <w:rsid w:val="04E65B23"/>
    <w:rsid w:val="06952959"/>
    <w:rsid w:val="06985201"/>
    <w:rsid w:val="06D0465A"/>
    <w:rsid w:val="079B4333"/>
    <w:rsid w:val="080C64C9"/>
    <w:rsid w:val="093F6E5D"/>
    <w:rsid w:val="094916C9"/>
    <w:rsid w:val="09B23C11"/>
    <w:rsid w:val="09D07158"/>
    <w:rsid w:val="0A4C1970"/>
    <w:rsid w:val="0A8A693C"/>
    <w:rsid w:val="0B0D487A"/>
    <w:rsid w:val="0B1170BE"/>
    <w:rsid w:val="0B931457"/>
    <w:rsid w:val="0BD936D7"/>
    <w:rsid w:val="0CC1292A"/>
    <w:rsid w:val="0DD2765F"/>
    <w:rsid w:val="0DDA5F42"/>
    <w:rsid w:val="0DF21285"/>
    <w:rsid w:val="0E14409A"/>
    <w:rsid w:val="0E243AED"/>
    <w:rsid w:val="0E9525A3"/>
    <w:rsid w:val="0EA47758"/>
    <w:rsid w:val="0F852FE9"/>
    <w:rsid w:val="0FA35E5A"/>
    <w:rsid w:val="0FE93165"/>
    <w:rsid w:val="11E861DD"/>
    <w:rsid w:val="129E11D6"/>
    <w:rsid w:val="13F671BD"/>
    <w:rsid w:val="140F1289"/>
    <w:rsid w:val="143F2C26"/>
    <w:rsid w:val="153E58EA"/>
    <w:rsid w:val="165158B3"/>
    <w:rsid w:val="16592F27"/>
    <w:rsid w:val="176E0DFF"/>
    <w:rsid w:val="17877C80"/>
    <w:rsid w:val="17FE6356"/>
    <w:rsid w:val="1907628E"/>
    <w:rsid w:val="193C2B6F"/>
    <w:rsid w:val="19AB2A69"/>
    <w:rsid w:val="1A3B162B"/>
    <w:rsid w:val="1A91517D"/>
    <w:rsid w:val="1AC758F5"/>
    <w:rsid w:val="1B437A34"/>
    <w:rsid w:val="1B6A4D9A"/>
    <w:rsid w:val="1BC11194"/>
    <w:rsid w:val="1C133D9F"/>
    <w:rsid w:val="1C3C4525"/>
    <w:rsid w:val="1CD47E00"/>
    <w:rsid w:val="1D473411"/>
    <w:rsid w:val="1E7147B5"/>
    <w:rsid w:val="1ED05E5F"/>
    <w:rsid w:val="1F0F0980"/>
    <w:rsid w:val="1F21434F"/>
    <w:rsid w:val="1FB3664B"/>
    <w:rsid w:val="20723182"/>
    <w:rsid w:val="20A756FA"/>
    <w:rsid w:val="20B1463B"/>
    <w:rsid w:val="20F66FEC"/>
    <w:rsid w:val="2181344C"/>
    <w:rsid w:val="222D6611"/>
    <w:rsid w:val="222F1A1F"/>
    <w:rsid w:val="22875EDA"/>
    <w:rsid w:val="22F6796A"/>
    <w:rsid w:val="248B4C18"/>
    <w:rsid w:val="24A52D69"/>
    <w:rsid w:val="24F92A2C"/>
    <w:rsid w:val="25180487"/>
    <w:rsid w:val="26445799"/>
    <w:rsid w:val="266E34AE"/>
    <w:rsid w:val="26C80178"/>
    <w:rsid w:val="272E4D9F"/>
    <w:rsid w:val="27E334E4"/>
    <w:rsid w:val="280003F5"/>
    <w:rsid w:val="29222E5B"/>
    <w:rsid w:val="29915199"/>
    <w:rsid w:val="29D532D8"/>
    <w:rsid w:val="2A166596"/>
    <w:rsid w:val="2A49687B"/>
    <w:rsid w:val="2A6A6763"/>
    <w:rsid w:val="2CB77362"/>
    <w:rsid w:val="2E2508DD"/>
    <w:rsid w:val="2E9F3FBA"/>
    <w:rsid w:val="2F5E78CC"/>
    <w:rsid w:val="30DF09C4"/>
    <w:rsid w:val="315129B8"/>
    <w:rsid w:val="31792031"/>
    <w:rsid w:val="31920B76"/>
    <w:rsid w:val="330D43D7"/>
    <w:rsid w:val="33810EEB"/>
    <w:rsid w:val="35221A85"/>
    <w:rsid w:val="357F0A2E"/>
    <w:rsid w:val="35F04E8D"/>
    <w:rsid w:val="36624145"/>
    <w:rsid w:val="373D2164"/>
    <w:rsid w:val="37653011"/>
    <w:rsid w:val="38FA2D16"/>
    <w:rsid w:val="392431AB"/>
    <w:rsid w:val="39292CF8"/>
    <w:rsid w:val="39874E3F"/>
    <w:rsid w:val="3B6D3E63"/>
    <w:rsid w:val="3BA33B10"/>
    <w:rsid w:val="3BB053C8"/>
    <w:rsid w:val="3CAD07EE"/>
    <w:rsid w:val="3CFE4AEE"/>
    <w:rsid w:val="3D086084"/>
    <w:rsid w:val="3D1244A5"/>
    <w:rsid w:val="3DA91236"/>
    <w:rsid w:val="3E321216"/>
    <w:rsid w:val="3EEA75C0"/>
    <w:rsid w:val="3F4E4D93"/>
    <w:rsid w:val="40153FD6"/>
    <w:rsid w:val="40642695"/>
    <w:rsid w:val="40831CAD"/>
    <w:rsid w:val="40F4048C"/>
    <w:rsid w:val="43A22D23"/>
    <w:rsid w:val="44466837"/>
    <w:rsid w:val="444E2AF3"/>
    <w:rsid w:val="45644F82"/>
    <w:rsid w:val="465D115C"/>
    <w:rsid w:val="468B17B6"/>
    <w:rsid w:val="46A16936"/>
    <w:rsid w:val="47043556"/>
    <w:rsid w:val="47596E9F"/>
    <w:rsid w:val="48B87BF5"/>
    <w:rsid w:val="48B972F3"/>
    <w:rsid w:val="4A6A6325"/>
    <w:rsid w:val="4AA03036"/>
    <w:rsid w:val="4AEA6060"/>
    <w:rsid w:val="4AF40C8C"/>
    <w:rsid w:val="4BA02BF8"/>
    <w:rsid w:val="4C405D8D"/>
    <w:rsid w:val="4C570EAE"/>
    <w:rsid w:val="4C8D1B15"/>
    <w:rsid w:val="4CCD7A4E"/>
    <w:rsid w:val="4CF8129A"/>
    <w:rsid w:val="4E3572A5"/>
    <w:rsid w:val="4EEE4370"/>
    <w:rsid w:val="4F9E7724"/>
    <w:rsid w:val="4FB63413"/>
    <w:rsid w:val="504532B1"/>
    <w:rsid w:val="50BD4008"/>
    <w:rsid w:val="514364B2"/>
    <w:rsid w:val="524F3D6B"/>
    <w:rsid w:val="526813EF"/>
    <w:rsid w:val="52967DEE"/>
    <w:rsid w:val="529B69C6"/>
    <w:rsid w:val="53AC0356"/>
    <w:rsid w:val="541C75D3"/>
    <w:rsid w:val="54625F54"/>
    <w:rsid w:val="550F2287"/>
    <w:rsid w:val="551E5284"/>
    <w:rsid w:val="5699471C"/>
    <w:rsid w:val="57217F7A"/>
    <w:rsid w:val="57556FB3"/>
    <w:rsid w:val="577D3BBA"/>
    <w:rsid w:val="586A0CB6"/>
    <w:rsid w:val="59451C4B"/>
    <w:rsid w:val="59E6511E"/>
    <w:rsid w:val="5A606D0E"/>
    <w:rsid w:val="5ADC30C6"/>
    <w:rsid w:val="5BE07737"/>
    <w:rsid w:val="5CF525C4"/>
    <w:rsid w:val="5D5A52C7"/>
    <w:rsid w:val="5E954A0B"/>
    <w:rsid w:val="5EBB7FE7"/>
    <w:rsid w:val="5F105600"/>
    <w:rsid w:val="5F1D5272"/>
    <w:rsid w:val="60066D23"/>
    <w:rsid w:val="61357BDD"/>
    <w:rsid w:val="61D13037"/>
    <w:rsid w:val="62001A55"/>
    <w:rsid w:val="62AA63A9"/>
    <w:rsid w:val="62D66B54"/>
    <w:rsid w:val="630B0C0E"/>
    <w:rsid w:val="63223BAF"/>
    <w:rsid w:val="65ED6CD8"/>
    <w:rsid w:val="66B8782F"/>
    <w:rsid w:val="6A7A3F8C"/>
    <w:rsid w:val="6B141A74"/>
    <w:rsid w:val="6C114B33"/>
    <w:rsid w:val="6CFC3CA5"/>
    <w:rsid w:val="6D815849"/>
    <w:rsid w:val="6E4F6524"/>
    <w:rsid w:val="6E6239F1"/>
    <w:rsid w:val="6ED44ED9"/>
    <w:rsid w:val="70293003"/>
    <w:rsid w:val="70294DB1"/>
    <w:rsid w:val="70F4419F"/>
    <w:rsid w:val="71F46C51"/>
    <w:rsid w:val="72332C02"/>
    <w:rsid w:val="72E15E16"/>
    <w:rsid w:val="73041B05"/>
    <w:rsid w:val="740A335E"/>
    <w:rsid w:val="74426811"/>
    <w:rsid w:val="75377F70"/>
    <w:rsid w:val="75F30556"/>
    <w:rsid w:val="76B626AB"/>
    <w:rsid w:val="77175742"/>
    <w:rsid w:val="772C556A"/>
    <w:rsid w:val="77782495"/>
    <w:rsid w:val="77D70DE3"/>
    <w:rsid w:val="77F24622"/>
    <w:rsid w:val="78794AA1"/>
    <w:rsid w:val="78A40BED"/>
    <w:rsid w:val="78BB60F7"/>
    <w:rsid w:val="790F7ACD"/>
    <w:rsid w:val="79993162"/>
    <w:rsid w:val="79CF6865"/>
    <w:rsid w:val="7B1544B5"/>
    <w:rsid w:val="7B1B6717"/>
    <w:rsid w:val="7BC97238"/>
    <w:rsid w:val="7BD73A6B"/>
    <w:rsid w:val="7C8076E9"/>
    <w:rsid w:val="7D562F5D"/>
    <w:rsid w:val="7DBF1F3F"/>
    <w:rsid w:val="7DEC7AFF"/>
    <w:rsid w:val="7EB937A4"/>
    <w:rsid w:val="7FB56556"/>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8"/>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7"/>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8"/>
    <w:autoRedefine/>
    <w:qFormat/>
    <w:uiPriority w:val="0"/>
    <w:pPr>
      <w:keepNext/>
      <w:keepLines/>
      <w:spacing w:before="260" w:after="260" w:line="416" w:lineRule="auto"/>
      <w:outlineLvl w:val="2"/>
    </w:pPr>
    <w:rPr>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eastAsia="宋体"/>
    </w:rPr>
  </w:style>
  <w:style w:type="paragraph" w:styleId="6">
    <w:name w:val="annotation text"/>
    <w:basedOn w:val="1"/>
    <w:link w:val="30"/>
    <w:autoRedefine/>
    <w:qFormat/>
    <w:uiPriority w:val="0"/>
    <w:pPr>
      <w:jc w:val="left"/>
    </w:pPr>
  </w:style>
  <w:style w:type="paragraph" w:styleId="7">
    <w:name w:val="Body Text"/>
    <w:basedOn w:val="1"/>
    <w:next w:val="8"/>
    <w:link w:val="46"/>
    <w:autoRedefine/>
    <w:qFormat/>
    <w:uiPriority w:val="0"/>
    <w:pPr>
      <w:spacing w:after="120"/>
    </w:pPr>
  </w:style>
  <w:style w:type="paragraph" w:styleId="8">
    <w:name w:val="Quote"/>
    <w:basedOn w:val="1"/>
    <w:next w:val="1"/>
    <w:link w:val="49"/>
    <w:autoRedefine/>
    <w:qFormat/>
    <w:uiPriority w:val="99"/>
    <w:rPr>
      <w:rFonts w:ascii="Calibri" w:hAnsi="Calibri" w:cs="Calibri"/>
      <w:i/>
      <w:iCs/>
      <w:color w:val="000000"/>
      <w:sz w:val="22"/>
    </w:rPr>
  </w:style>
  <w:style w:type="paragraph" w:styleId="9">
    <w:name w:val="Body Text Indent"/>
    <w:basedOn w:val="1"/>
    <w:link w:val="53"/>
    <w:autoRedefine/>
    <w:qFormat/>
    <w:uiPriority w:val="0"/>
    <w:pPr>
      <w:ind w:firstLine="630"/>
    </w:pPr>
    <w:rPr>
      <w:sz w:val="32"/>
      <w:szCs w:val="20"/>
    </w:rPr>
  </w:style>
  <w:style w:type="paragraph" w:styleId="10">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next w:val="1"/>
    <w:link w:val="51"/>
    <w:autoRedefine/>
    <w:qFormat/>
    <w:uiPriority w:val="99"/>
    <w:pPr>
      <w:autoSpaceDE w:val="0"/>
      <w:autoSpaceDN w:val="0"/>
      <w:adjustRightInd w:val="0"/>
    </w:pPr>
    <w:rPr>
      <w:rFonts w:ascii="宋体" w:hAnsi="Tms Rmn"/>
      <w:kern w:val="0"/>
      <w:szCs w:val="20"/>
    </w:rPr>
  </w:style>
  <w:style w:type="paragraph" w:styleId="12">
    <w:name w:val="Balloon Text"/>
    <w:basedOn w:val="1"/>
    <w:link w:val="29"/>
    <w:autoRedefine/>
    <w:qFormat/>
    <w:uiPriority w:val="0"/>
    <w:rPr>
      <w:sz w:val="18"/>
      <w:szCs w:val="18"/>
    </w:rPr>
  </w:style>
  <w:style w:type="paragraph" w:styleId="13">
    <w:name w:val="footer"/>
    <w:basedOn w:val="1"/>
    <w:next w:val="8"/>
    <w:link w:val="32"/>
    <w:autoRedefine/>
    <w:qFormat/>
    <w:uiPriority w:val="0"/>
    <w:pPr>
      <w:tabs>
        <w:tab w:val="center" w:pos="4153"/>
        <w:tab w:val="right" w:pos="8306"/>
      </w:tabs>
      <w:snapToGrid w:val="0"/>
      <w:jc w:val="left"/>
    </w:pPr>
    <w:rPr>
      <w:sz w:val="18"/>
      <w:szCs w:val="20"/>
    </w:rPr>
  </w:style>
  <w:style w:type="paragraph" w:styleId="14">
    <w:name w:val="header"/>
    <w:basedOn w:val="1"/>
    <w:link w:val="52"/>
    <w:autoRedefine/>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3"/>
    <w:autoRedefine/>
    <w:qFormat/>
    <w:uiPriority w:val="0"/>
    <w:pPr>
      <w:spacing w:beforeAutospacing="1" w:afterAutospacing="1"/>
      <w:jc w:val="left"/>
    </w:pPr>
    <w:rPr>
      <w:rFonts w:cs="Times New Roman"/>
      <w:kern w:val="0"/>
      <w:sz w:val="24"/>
    </w:rPr>
  </w:style>
  <w:style w:type="paragraph" w:styleId="17">
    <w:name w:val="Title"/>
    <w:basedOn w:val="1"/>
    <w:next w:val="1"/>
    <w:link w:val="62"/>
    <w:autoRedefine/>
    <w:qFormat/>
    <w:uiPriority w:val="0"/>
    <w:pPr>
      <w:spacing w:before="240" w:after="60"/>
      <w:jc w:val="center"/>
      <w:outlineLvl w:val="0"/>
    </w:pPr>
    <w:rPr>
      <w:rFonts w:ascii="Cambria" w:hAnsi="Cambria" w:cs="Times New Roman"/>
      <w:b/>
      <w:bCs/>
      <w:sz w:val="32"/>
      <w:szCs w:val="32"/>
    </w:rPr>
  </w:style>
  <w:style w:type="paragraph" w:styleId="18">
    <w:name w:val="annotation subject"/>
    <w:basedOn w:val="6"/>
    <w:next w:val="6"/>
    <w:link w:val="31"/>
    <w:autoRedefine/>
    <w:unhideWhenUsed/>
    <w:qFormat/>
    <w:uiPriority w:val="0"/>
    <w:rPr>
      <w:b/>
      <w:bCs/>
    </w:rPr>
  </w:style>
  <w:style w:type="paragraph" w:styleId="19">
    <w:name w:val="Body Text First Indent"/>
    <w:basedOn w:val="7"/>
    <w:next w:val="1"/>
    <w:autoRedefine/>
    <w:unhideWhenUsed/>
    <w:qFormat/>
    <w:uiPriority w:val="99"/>
    <w:pPr>
      <w:ind w:firstLine="420" w:firstLineChars="100"/>
    </w:pPr>
  </w:style>
  <w:style w:type="paragraph" w:styleId="20">
    <w:name w:val="Body Text First Indent 2"/>
    <w:basedOn w:val="9"/>
    <w:link w:val="54"/>
    <w:autoRedefine/>
    <w:unhideWhenUsed/>
    <w:qFormat/>
    <w:uiPriority w:val="99"/>
    <w:pPr>
      <w:ind w:firstLine="420" w:firstLineChars="200"/>
    </w:pPr>
    <w:rPr>
      <w:rFonts w:hint="eastAsia"/>
    </w:rPr>
  </w:style>
  <w:style w:type="table" w:styleId="22">
    <w:name w:val="Table Grid"/>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autoRedefine/>
    <w:qFormat/>
    <w:uiPriority w:val="99"/>
    <w:rPr>
      <w:color w:val="0000FF"/>
      <w:u w:val="single"/>
    </w:rPr>
  </w:style>
  <w:style w:type="character" w:styleId="25">
    <w:name w:val="annotation reference"/>
    <w:basedOn w:val="23"/>
    <w:autoRedefine/>
    <w:qFormat/>
    <w:uiPriority w:val="0"/>
    <w:rPr>
      <w:sz w:val="21"/>
      <w:szCs w:val="21"/>
    </w:rPr>
  </w:style>
  <w:style w:type="paragraph" w:customStyle="1" w:styleId="26">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7">
    <w:name w:val="正文首行缩进两字符"/>
    <w:basedOn w:val="1"/>
    <w:autoRedefine/>
    <w:qFormat/>
    <w:uiPriority w:val="0"/>
    <w:pPr>
      <w:spacing w:line="360" w:lineRule="auto"/>
      <w:ind w:firstLine="200" w:firstLineChars="200"/>
    </w:pPr>
  </w:style>
  <w:style w:type="paragraph" w:customStyle="1" w:styleId="28">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9">
    <w:name w:val="批注框文本 Char"/>
    <w:basedOn w:val="23"/>
    <w:link w:val="12"/>
    <w:autoRedefine/>
    <w:qFormat/>
    <w:uiPriority w:val="0"/>
    <w:rPr>
      <w:rFonts w:asciiTheme="minorHAnsi" w:hAnsiTheme="minorHAnsi" w:eastAsiaTheme="minorEastAsia" w:cstheme="minorBidi"/>
      <w:kern w:val="2"/>
      <w:sz w:val="18"/>
      <w:szCs w:val="18"/>
    </w:rPr>
  </w:style>
  <w:style w:type="character" w:customStyle="1" w:styleId="30">
    <w:name w:val="批注文字 Char"/>
    <w:basedOn w:val="23"/>
    <w:link w:val="6"/>
    <w:autoRedefine/>
    <w:qFormat/>
    <w:uiPriority w:val="0"/>
    <w:rPr>
      <w:rFonts w:asciiTheme="minorHAnsi" w:hAnsiTheme="minorHAnsi" w:eastAsiaTheme="minorEastAsia" w:cstheme="minorBidi"/>
      <w:kern w:val="2"/>
      <w:sz w:val="21"/>
      <w:szCs w:val="22"/>
    </w:rPr>
  </w:style>
  <w:style w:type="character" w:customStyle="1" w:styleId="31">
    <w:name w:val="批注主题 Char"/>
    <w:basedOn w:val="30"/>
    <w:link w:val="18"/>
    <w:autoRedefine/>
    <w:qFormat/>
    <w:uiPriority w:val="0"/>
    <w:rPr>
      <w:rFonts w:asciiTheme="minorHAnsi" w:hAnsiTheme="minorHAnsi" w:eastAsiaTheme="minorEastAsia" w:cstheme="minorBidi"/>
      <w:b/>
      <w:bCs/>
      <w:kern w:val="2"/>
      <w:sz w:val="21"/>
      <w:szCs w:val="22"/>
    </w:rPr>
  </w:style>
  <w:style w:type="character" w:customStyle="1" w:styleId="32">
    <w:name w:val="页脚 Char"/>
    <w:basedOn w:val="23"/>
    <w:link w:val="13"/>
    <w:autoRedefine/>
    <w:qFormat/>
    <w:uiPriority w:val="0"/>
    <w:rPr>
      <w:rFonts w:asciiTheme="minorHAnsi" w:hAnsiTheme="minorHAnsi" w:eastAsiaTheme="minorEastAsia" w:cstheme="minorBidi"/>
      <w:kern w:val="2"/>
      <w:sz w:val="18"/>
    </w:rPr>
  </w:style>
  <w:style w:type="paragraph" w:customStyle="1" w:styleId="33">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4">
    <w:name w:val="网格型1"/>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5">
    <w:name w:val="List Paragraph"/>
    <w:basedOn w:val="36"/>
    <w:autoRedefine/>
    <w:qFormat/>
    <w:uiPriority w:val="34"/>
    <w:pPr>
      <w:ind w:firstLine="420" w:firstLineChars="200"/>
    </w:pPr>
  </w:style>
  <w:style w:type="paragraph" w:customStyle="1" w:styleId="36">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WPSOffice手动目录 1"/>
    <w:autoRedefine/>
    <w:qFormat/>
    <w:uiPriority w:val="0"/>
    <w:rPr>
      <w:rFonts w:ascii="Times New Roman" w:hAnsi="Times New Roman" w:eastAsia="宋体" w:cs="Times New Roman"/>
      <w:lang w:val="en-US" w:eastAsia="zh-CN" w:bidi="ar-SA"/>
    </w:rPr>
  </w:style>
  <w:style w:type="character" w:customStyle="1" w:styleId="38">
    <w:name w:val="标题 1 Char"/>
    <w:link w:val="2"/>
    <w:autoRedefine/>
    <w:qFormat/>
    <w:uiPriority w:val="0"/>
    <w:rPr>
      <w:b/>
      <w:bCs/>
      <w:kern w:val="44"/>
      <w:sz w:val="44"/>
      <w:szCs w:val="44"/>
    </w:rPr>
  </w:style>
  <w:style w:type="character" w:customStyle="1" w:styleId="39">
    <w:name w:val="font21"/>
    <w:basedOn w:val="23"/>
    <w:autoRedefine/>
    <w:qFormat/>
    <w:uiPriority w:val="0"/>
    <w:rPr>
      <w:rFonts w:hint="eastAsia" w:ascii="微软雅黑" w:hAnsi="微软雅黑" w:eastAsia="微软雅黑" w:cs="微软雅黑"/>
      <w:color w:val="000000"/>
      <w:sz w:val="20"/>
      <w:szCs w:val="20"/>
      <w:u w:val="none"/>
    </w:rPr>
  </w:style>
  <w:style w:type="character" w:customStyle="1" w:styleId="40">
    <w:name w:val="font41"/>
    <w:basedOn w:val="23"/>
    <w:autoRedefine/>
    <w:qFormat/>
    <w:uiPriority w:val="0"/>
    <w:rPr>
      <w:rFonts w:ascii="Tahoma" w:hAnsi="Tahoma" w:eastAsia="Tahoma" w:cs="Tahoma"/>
      <w:color w:val="000000"/>
      <w:sz w:val="20"/>
      <w:szCs w:val="20"/>
      <w:u w:val="none"/>
    </w:rPr>
  </w:style>
  <w:style w:type="character" w:customStyle="1" w:styleId="41">
    <w:name w:val="font31"/>
    <w:basedOn w:val="23"/>
    <w:autoRedefine/>
    <w:qFormat/>
    <w:uiPriority w:val="0"/>
    <w:rPr>
      <w:rFonts w:hint="eastAsia" w:ascii="宋体" w:hAnsi="宋体" w:eastAsia="宋体" w:cs="宋体"/>
      <w:color w:val="000000"/>
      <w:sz w:val="20"/>
      <w:szCs w:val="20"/>
      <w:u w:val="none"/>
    </w:rPr>
  </w:style>
  <w:style w:type="character" w:customStyle="1" w:styleId="42">
    <w:name w:val="font61"/>
    <w:basedOn w:val="23"/>
    <w:autoRedefine/>
    <w:qFormat/>
    <w:uiPriority w:val="0"/>
    <w:rPr>
      <w:rFonts w:hint="default" w:ascii="Times New Roman" w:hAnsi="Times New Roman" w:cs="Times New Roman"/>
      <w:b/>
      <w:color w:val="000000"/>
      <w:sz w:val="21"/>
      <w:szCs w:val="21"/>
      <w:u w:val="none"/>
    </w:rPr>
  </w:style>
  <w:style w:type="paragraph" w:customStyle="1" w:styleId="43">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4">
    <w:name w:val="font51"/>
    <w:basedOn w:val="23"/>
    <w:autoRedefine/>
    <w:qFormat/>
    <w:uiPriority w:val="0"/>
    <w:rPr>
      <w:rFonts w:hint="eastAsia" w:ascii="方正仿宋简体" w:hAnsi="方正仿宋简体" w:eastAsia="方正仿宋简体" w:cs="方正仿宋简体"/>
      <w:color w:val="000000"/>
      <w:sz w:val="22"/>
      <w:szCs w:val="22"/>
      <w:u w:val="none"/>
    </w:rPr>
  </w:style>
  <w:style w:type="character" w:customStyle="1" w:styleId="45">
    <w:name w:val="font11"/>
    <w:basedOn w:val="23"/>
    <w:autoRedefine/>
    <w:qFormat/>
    <w:uiPriority w:val="0"/>
    <w:rPr>
      <w:rFonts w:hint="default" w:ascii="Times New Roman" w:hAnsi="Times New Roman" w:cs="Times New Roman"/>
      <w:color w:val="000000"/>
      <w:sz w:val="22"/>
      <w:szCs w:val="22"/>
      <w:u w:val="none"/>
    </w:rPr>
  </w:style>
  <w:style w:type="character" w:customStyle="1" w:styleId="46">
    <w:name w:val="正文文本 Char"/>
    <w:basedOn w:val="23"/>
    <w:link w:val="7"/>
    <w:autoRedefine/>
    <w:qFormat/>
    <w:uiPriority w:val="0"/>
    <w:rPr>
      <w:rFonts w:asciiTheme="minorHAnsi" w:hAnsiTheme="minorHAnsi" w:eastAsiaTheme="minorEastAsia" w:cstheme="minorBidi"/>
      <w:kern w:val="2"/>
      <w:sz w:val="21"/>
      <w:szCs w:val="22"/>
    </w:rPr>
  </w:style>
  <w:style w:type="character" w:customStyle="1" w:styleId="47">
    <w:name w:val="标题 2 Char"/>
    <w:basedOn w:val="23"/>
    <w:link w:val="3"/>
    <w:autoRedefine/>
    <w:qFormat/>
    <w:uiPriority w:val="0"/>
    <w:rPr>
      <w:rFonts w:ascii="Arial" w:hAnsi="Arial" w:eastAsia="黑体" w:cstheme="minorBidi"/>
      <w:b/>
      <w:bCs/>
      <w:kern w:val="2"/>
      <w:sz w:val="32"/>
      <w:szCs w:val="32"/>
    </w:rPr>
  </w:style>
  <w:style w:type="character" w:customStyle="1" w:styleId="48">
    <w:name w:val="标题 3 Char"/>
    <w:basedOn w:val="23"/>
    <w:link w:val="4"/>
    <w:autoRedefine/>
    <w:qFormat/>
    <w:uiPriority w:val="0"/>
    <w:rPr>
      <w:rFonts w:asciiTheme="minorHAnsi" w:hAnsiTheme="minorHAnsi" w:eastAsiaTheme="minorEastAsia" w:cstheme="minorBidi"/>
      <w:b/>
      <w:bCs/>
      <w:kern w:val="2"/>
      <w:sz w:val="32"/>
      <w:szCs w:val="32"/>
    </w:rPr>
  </w:style>
  <w:style w:type="character" w:customStyle="1" w:styleId="49">
    <w:name w:val="引用 Char"/>
    <w:basedOn w:val="23"/>
    <w:link w:val="8"/>
    <w:autoRedefine/>
    <w:qFormat/>
    <w:uiPriority w:val="99"/>
    <w:rPr>
      <w:rFonts w:ascii="Calibri" w:hAnsi="Calibri" w:cs="Calibri" w:eastAsiaTheme="minorEastAsia"/>
      <w:i/>
      <w:iCs/>
      <w:color w:val="000000"/>
      <w:kern w:val="2"/>
      <w:sz w:val="22"/>
      <w:szCs w:val="22"/>
    </w:rPr>
  </w:style>
  <w:style w:type="character" w:customStyle="1" w:styleId="50">
    <w:name w:val="正文文本缩进 Char"/>
    <w:basedOn w:val="23"/>
    <w:autoRedefine/>
    <w:qFormat/>
    <w:uiPriority w:val="0"/>
    <w:rPr>
      <w:rFonts w:asciiTheme="minorHAnsi" w:hAnsiTheme="minorHAnsi" w:eastAsiaTheme="minorEastAsia" w:cstheme="minorBidi"/>
      <w:kern w:val="2"/>
      <w:sz w:val="32"/>
    </w:rPr>
  </w:style>
  <w:style w:type="character" w:customStyle="1" w:styleId="51">
    <w:name w:val="纯文本 Char"/>
    <w:basedOn w:val="23"/>
    <w:link w:val="11"/>
    <w:autoRedefine/>
    <w:qFormat/>
    <w:uiPriority w:val="99"/>
    <w:rPr>
      <w:rFonts w:ascii="宋体" w:hAnsi="Tms Rmn" w:eastAsiaTheme="minorEastAsia" w:cstheme="minorBidi"/>
      <w:sz w:val="21"/>
    </w:rPr>
  </w:style>
  <w:style w:type="character" w:customStyle="1" w:styleId="52">
    <w:name w:val="页眉 Char"/>
    <w:basedOn w:val="23"/>
    <w:link w:val="14"/>
    <w:autoRedefine/>
    <w:qFormat/>
    <w:uiPriority w:val="0"/>
    <w:rPr>
      <w:rFonts w:asciiTheme="minorHAnsi" w:hAnsiTheme="minorHAnsi" w:eastAsiaTheme="minorEastAsia" w:cstheme="minorBidi"/>
      <w:kern w:val="2"/>
      <w:sz w:val="18"/>
    </w:rPr>
  </w:style>
  <w:style w:type="character" w:customStyle="1" w:styleId="53">
    <w:name w:val="正文文本缩进 Char1"/>
    <w:basedOn w:val="23"/>
    <w:link w:val="9"/>
    <w:autoRedefine/>
    <w:qFormat/>
    <w:uiPriority w:val="0"/>
    <w:rPr>
      <w:rFonts w:asciiTheme="minorHAnsi" w:hAnsiTheme="minorHAnsi" w:eastAsiaTheme="minorEastAsia" w:cstheme="minorBidi"/>
      <w:kern w:val="2"/>
      <w:sz w:val="32"/>
    </w:rPr>
  </w:style>
  <w:style w:type="character" w:customStyle="1" w:styleId="54">
    <w:name w:val="正文首行缩进 2 Char"/>
    <w:basedOn w:val="53"/>
    <w:link w:val="20"/>
    <w:autoRedefine/>
    <w:qFormat/>
    <w:uiPriority w:val="99"/>
    <w:rPr>
      <w:rFonts w:asciiTheme="minorHAnsi" w:hAnsiTheme="minorHAnsi" w:eastAsiaTheme="minorEastAsia" w:cstheme="minorBidi"/>
      <w:kern w:val="2"/>
      <w:sz w:val="32"/>
    </w:rPr>
  </w:style>
  <w:style w:type="paragraph" w:customStyle="1" w:styleId="55">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5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59">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1"/>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autoRedefine/>
    <w:qFormat/>
    <w:uiPriority w:val="0"/>
    <w:rPr>
      <w:rFonts w:cs="Times New Roman"/>
    </w:rPr>
  </w:style>
  <w:style w:type="character" w:customStyle="1" w:styleId="62">
    <w:name w:val="标题 Char"/>
    <w:link w:val="17"/>
    <w:autoRedefine/>
    <w:qFormat/>
    <w:uiPriority w:val="0"/>
    <w:rPr>
      <w:rFonts w:ascii="Cambria" w:hAnsi="Cambria" w:cs="Times New Roman"/>
      <w:b/>
      <w:bCs/>
      <w:sz w:val="32"/>
      <w:szCs w:val="32"/>
    </w:rPr>
  </w:style>
  <w:style w:type="character" w:customStyle="1" w:styleId="63">
    <w:name w:val="普通(网站) Char"/>
    <w:link w:val="16"/>
    <w:autoRedefine/>
    <w:qFormat/>
    <w:uiPriority w:val="0"/>
    <w:rPr>
      <w:rFonts w:cs="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81</Pages>
  <Words>49753</Words>
  <Characters>52454</Characters>
  <Lines>404</Lines>
  <Paragraphs>114</Paragraphs>
  <TotalTime>1</TotalTime>
  <ScaleCrop>false</ScaleCrop>
  <LinksUpToDate>false</LinksUpToDate>
  <CharactersWithSpaces>55803</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不羁的风</cp:lastModifiedBy>
  <cp:lastPrinted>2023-09-04T09:58:00Z</cp:lastPrinted>
  <dcterms:modified xsi:type="dcterms:W3CDTF">2024-02-29T09:03:50Z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53171551DF9C48B389C7C4B267471319_13</vt:lpwstr>
  </property>
</Properties>
</file>