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XJ-2023-14（3）</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合江县甘竹路（甘雨至石龙段）</w:t>
      </w: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改建工程</w:t>
      </w:r>
      <w:r>
        <w:rPr>
          <w:rFonts w:hint="eastAsia" w:ascii="Times New Roman" w:hAnsi="Times New Roman" w:eastAsia="仿宋" w:cs="Times New Roman"/>
          <w:b/>
          <w:color w:val="auto"/>
          <w:sz w:val="44"/>
          <w:szCs w:val="44"/>
          <w:lang w:val="en-US" w:eastAsia="zh-CN"/>
        </w:rPr>
        <w:t>建筑工程</w:t>
      </w:r>
      <w:r>
        <w:rPr>
          <w:rFonts w:hint="default" w:ascii="Times New Roman" w:hAnsi="Times New Roman" w:eastAsia="仿宋" w:cs="Times New Roman"/>
          <w:b/>
          <w:color w:val="auto"/>
          <w:sz w:val="44"/>
          <w:szCs w:val="44"/>
        </w:rPr>
        <w:t>一切险</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w:t>
      </w:r>
      <w:r>
        <w:rPr>
          <w:rFonts w:hint="eastAsia" w:ascii="Times New Roman" w:hAnsi="Times New Roman" w:eastAsia="仿宋" w:cs="Times New Roman"/>
          <w:b/>
          <w:color w:val="auto"/>
          <w:sz w:val="44"/>
          <w:szCs w:val="44"/>
          <w:lang w:val="en-US" w:eastAsia="zh-CN"/>
        </w:rPr>
        <w:t>广源达建设工程</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4</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3</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w:t>
          </w:r>
          <w:r>
            <w:rPr>
              <w:rFonts w:hint="eastAsia" w:ascii="Times New Roman" w:hAnsi="Times New Roman" w:eastAsia="仿宋" w:cs="Times New Roman"/>
              <w:b/>
              <w:bCs/>
              <w:caps/>
              <w:color w:val="auto"/>
              <w:sz w:val="24"/>
              <w:szCs w:val="24"/>
              <w:lang w:val="en-US" w:eastAsia="zh-CN"/>
            </w:rPr>
            <w:t>四</w:t>
          </w:r>
          <w:r>
            <w:rPr>
              <w:rFonts w:hint="default" w:ascii="Times New Roman" w:hAnsi="Times New Roman" w:eastAsia="仿宋" w:cs="Times New Roman"/>
              <w:b/>
              <w:bCs/>
              <w:caps/>
              <w:color w:val="auto"/>
              <w:sz w:val="24"/>
              <w:szCs w:val="24"/>
            </w:rPr>
            <w:t>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default" w:ascii="Times New Roman" w:hAnsi="Times New Roman" w:eastAsia="仿宋" w:cs="Times New Roman"/>
          <w:color w:val="auto"/>
          <w:szCs w:val="21"/>
          <w:u w:val="single"/>
        </w:rPr>
        <w:t>四川</w:t>
      </w:r>
      <w:r>
        <w:rPr>
          <w:rFonts w:hint="eastAsia" w:ascii="Times New Roman" w:hAnsi="Times New Roman" w:eastAsia="仿宋" w:cs="Times New Roman"/>
          <w:color w:val="auto"/>
          <w:szCs w:val="21"/>
          <w:u w:val="single"/>
          <w:lang w:val="en-US" w:eastAsia="zh-CN"/>
        </w:rPr>
        <w:t>广源达</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eastAsia" w:ascii="Times New Roman" w:hAnsi="Times New Roman" w:eastAsia="仿宋" w:cs="Times New Roman"/>
          <w:color w:val="auto"/>
          <w:szCs w:val="21"/>
          <w:u w:val="single"/>
          <w:lang w:eastAsia="zh-CN"/>
        </w:rPr>
        <w:t>（</w:t>
      </w:r>
      <w:r>
        <w:rPr>
          <w:rFonts w:hint="eastAsia" w:ascii="Times New Roman" w:hAnsi="Times New Roman" w:eastAsia="仿宋" w:cs="Times New Roman"/>
          <w:color w:val="auto"/>
          <w:szCs w:val="21"/>
          <w:u w:val="single"/>
          <w:lang w:val="en-US" w:eastAsia="zh-CN"/>
        </w:rPr>
        <w:t>3</w:t>
      </w:r>
      <w:r>
        <w:rPr>
          <w:rFonts w:hint="eastAsia" w:ascii="Times New Roman" w:hAnsi="Times New Roman" w:eastAsia="仿宋" w:cs="Times New Roman"/>
          <w:color w:val="auto"/>
          <w:szCs w:val="21"/>
          <w:u w:val="single"/>
          <w:lang w:eastAsia="zh-CN"/>
        </w:rPr>
        <w:t>）</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合江县甘竹路（甘雨至石龙段）改建工程</w:t>
      </w:r>
      <w:r>
        <w:rPr>
          <w:rFonts w:hint="eastAsia" w:ascii="Times New Roman" w:hAnsi="Times New Roman" w:eastAsia="仿宋" w:cs="Times New Roman"/>
          <w:color w:val="auto"/>
          <w:szCs w:val="21"/>
          <w:u w:val="single"/>
          <w:lang w:val="en-US" w:eastAsia="zh-CN"/>
        </w:rPr>
        <w:t>建筑工程</w:t>
      </w:r>
      <w:r>
        <w:rPr>
          <w:rFonts w:hint="default" w:ascii="Times New Roman" w:hAnsi="Times New Roman" w:eastAsia="仿宋" w:cs="Times New Roman"/>
          <w:color w:val="auto"/>
          <w:szCs w:val="21"/>
          <w:u w:val="single"/>
        </w:rPr>
        <w:t>一切险</w:t>
      </w:r>
      <w:r>
        <w:rPr>
          <w:rFonts w:hint="eastAsia" w:ascii="Times New Roman" w:hAnsi="Times New Roman" w:eastAsia="仿宋" w:cs="Times New Roman"/>
          <w:color w:val="auto"/>
          <w:szCs w:val="21"/>
          <w:u w:val="single"/>
          <w:lang w:eastAsia="zh-CN"/>
        </w:rPr>
        <w:t>（</w:t>
      </w:r>
      <w:r>
        <w:rPr>
          <w:rFonts w:hint="eastAsia" w:ascii="Times New Roman" w:hAnsi="Times New Roman" w:eastAsia="仿宋" w:cs="Times New Roman"/>
          <w:color w:val="auto"/>
          <w:szCs w:val="21"/>
          <w:u w:val="single"/>
          <w:lang w:val="en-US" w:eastAsia="zh-CN"/>
        </w:rPr>
        <w:t>3</w:t>
      </w:r>
      <w:r>
        <w:rPr>
          <w:rFonts w:hint="eastAsia" w:ascii="Times New Roman" w:hAnsi="Times New Roman" w:eastAsia="仿宋" w:cs="Times New Roman"/>
          <w:color w:val="auto"/>
          <w:szCs w:val="21"/>
          <w:u w:val="single"/>
          <w:lang w:eastAsia="zh-CN"/>
        </w:rPr>
        <w:t>）</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w:t>
      </w:r>
      <w:r>
        <w:rPr>
          <w:rFonts w:hint="eastAsia" w:ascii="Times New Roman" w:hAnsi="Times New Roman" w:eastAsia="仿宋" w:cs="Times New Roman"/>
          <w:b/>
          <w:color w:val="auto"/>
          <w:kern w:val="0"/>
          <w:szCs w:val="21"/>
          <w:lang w:val="en-US" w:eastAsia="zh-CN" w:bidi="ar"/>
        </w:rPr>
        <w:t>广源达</w:t>
      </w:r>
      <w:r>
        <w:rPr>
          <w:rFonts w:hint="default" w:ascii="Times New Roman" w:hAnsi="Times New Roman" w:eastAsia="仿宋" w:cs="Times New Roman"/>
          <w:b/>
          <w:color w:val="auto"/>
          <w:kern w:val="0"/>
          <w:szCs w:val="21"/>
          <w:lang w:bidi="ar"/>
        </w:rPr>
        <w:t xml:space="preserve">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 xml:space="preserve"> 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3</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20</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7009"/>
      <w:bookmarkStart w:id="9" w:name="_Toc213396945"/>
      <w:bookmarkStart w:id="10" w:name="_Toc21339675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合江县甘竹路（甘雨至石龙段）改建</w:t>
            </w:r>
            <w:r>
              <w:rPr>
                <w:rFonts w:hint="default" w:ascii="Times New Roman" w:hAnsi="Times New Roman" w:eastAsia="仿宋" w:cs="Times New Roman"/>
                <w:color w:val="auto"/>
                <w:szCs w:val="21"/>
                <w:lang w:val="en-US" w:eastAsia="zh-CN"/>
              </w:rPr>
              <w:t>工程</w:t>
            </w: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3</w:t>
            </w:r>
            <w:r>
              <w:rPr>
                <w:rFonts w:hint="eastAsia" w:ascii="Times New Roman" w:hAnsi="Times New Roman" w:eastAsia="仿宋" w:cs="Times New Roman"/>
                <w:color w:val="auto"/>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exact"/>
          <w:jc w:val="center"/>
        </w:trPr>
        <w:tc>
          <w:tcPr>
            <w:tcW w:w="567" w:type="dxa"/>
            <w:vAlign w:val="center"/>
          </w:tcPr>
          <w:p>
            <w:pPr>
              <w:pStyle w:val="28"/>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8"/>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8"/>
              <w:ind w:left="38"/>
              <w:jc w:val="center"/>
              <w:rPr>
                <w:rFonts w:hint="eastAsia" w:ascii="Times New Roman" w:hAnsi="Times New Roman" w:eastAsia="仿宋" w:cs="Times New Roman"/>
                <w:color w:val="auto"/>
                <w:sz w:val="21"/>
                <w:szCs w:val="21"/>
                <w:lang w:val="zh-CN"/>
              </w:rPr>
            </w:pPr>
          </w:p>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路线主线长 6.579 公里，本项目全线采用三级公路技术标准，路面采用沥青混凝土路面，设计速度 30km/h,路基宽度 7.5m,在确保安全的情况下，局部困难路段灵活运用技术指标。建设规模范围内的涉及路基、路面、安全设施及预埋管线、绿化及环境保护设施等全部工程项目及安保工程等附属设施。</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壹拾伍万贰仟元整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FF0000"/>
          <w:szCs w:val="21"/>
          <w:u w:val="single"/>
          <w:lang w:val="en-US" w:eastAsia="zh-CN"/>
        </w:rPr>
        <w:t>/</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896"/>
        <w:gridCol w:w="845"/>
        <w:gridCol w:w="641"/>
        <w:gridCol w:w="1146"/>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146"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2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641"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项</w:t>
            </w:r>
          </w:p>
        </w:tc>
        <w:tc>
          <w:tcPr>
            <w:tcW w:w="1146"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152000</w:t>
            </w:r>
          </w:p>
        </w:tc>
        <w:tc>
          <w:tcPr>
            <w:tcW w:w="1241"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宋体" w:hAnsi="宋体" w:cs="宋体"/>
                <w:i w:val="0"/>
                <w:iCs w:val="0"/>
                <w:color w:val="000000"/>
                <w:kern w:val="0"/>
                <w:sz w:val="24"/>
                <w:szCs w:val="24"/>
                <w:u w:val="none"/>
                <w:lang w:val="en-US" w:eastAsia="zh-CN" w:bidi="ar"/>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845" w:type="dxa"/>
            <w:vAlign w:val="center"/>
          </w:tcPr>
          <w:p>
            <w:pPr>
              <w:widowControl/>
              <w:jc w:val="center"/>
              <w:textAlignment w:val="center"/>
              <w:rPr>
                <w:rFonts w:hint="default" w:ascii="仿宋" w:hAnsi="仿宋" w:eastAsia="仿宋" w:cs="仿宋"/>
                <w:sz w:val="24"/>
                <w:lang w:val="en-US"/>
              </w:rPr>
            </w:pPr>
          </w:p>
        </w:tc>
        <w:tc>
          <w:tcPr>
            <w:tcW w:w="641" w:type="dxa"/>
            <w:vAlign w:val="center"/>
          </w:tcPr>
          <w:p>
            <w:pPr>
              <w:widowControl/>
              <w:jc w:val="center"/>
              <w:textAlignment w:val="center"/>
              <w:rPr>
                <w:rFonts w:ascii="宋体" w:hAnsi="宋体" w:eastAsia="宋体" w:cs="宋体"/>
                <w:color w:val="000000"/>
                <w:sz w:val="22"/>
                <w:szCs w:val="22"/>
              </w:rPr>
            </w:pPr>
          </w:p>
        </w:tc>
        <w:tc>
          <w:tcPr>
            <w:tcW w:w="1146" w:type="dxa"/>
            <w:vAlign w:val="center"/>
          </w:tcPr>
          <w:p>
            <w:pPr>
              <w:widowControl/>
              <w:jc w:val="center"/>
              <w:textAlignment w:val="center"/>
              <w:rPr>
                <w:rFonts w:ascii="仿宋" w:hAnsi="仿宋" w:eastAsia="仿宋" w:cs="仿宋"/>
                <w:sz w:val="24"/>
              </w:rPr>
            </w:pP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1、</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r>
        <w:rPr>
          <w:rFonts w:hint="eastAsia" w:cstheme="minorBidi"/>
          <w:b w:val="0"/>
          <w:bCs w:val="0"/>
          <w:color w:val="000000"/>
          <w:kern w:val="2"/>
          <w:sz w:val="24"/>
          <w:szCs w:val="24"/>
          <w:lang w:val="en-US" w:eastAsia="zh-CN" w:bidi="ar-SA"/>
        </w:rPr>
        <w:t xml:space="preserve">  5、各单项报价不得高于采购清单各单项控制价，超过各单项控制价将作为无效报价。</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both"/>
        <w:rPr>
          <w:rFonts w:hint="default" w:ascii="Times New Roman" w:hAnsi="Times New Roman" w:eastAsia="仿宋" w:cs="Times New Roman"/>
          <w:b/>
          <w:bCs/>
          <w:color w:val="auto"/>
          <w:sz w:val="32"/>
          <w:szCs w:val="32"/>
        </w:rPr>
      </w:pPr>
      <w:bookmarkStart w:id="22" w:name="_GoBack"/>
      <w:bookmarkEnd w:id="22"/>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
    <w:p/>
    <w:p/>
    <w:p/>
    <w:p>
      <w:pPr>
        <w:jc w:val="center"/>
        <w:rPr>
          <w:rFonts w:hint="default" w:ascii="Times New Roman" w:hAnsi="Times New Roman" w:eastAsia="仿宋" w:cs="Times New Roman"/>
          <w:color w:val="auto"/>
        </w:rPr>
      </w:pPr>
      <w:bookmarkStart w:id="15" w:name="_Toc31016"/>
      <w:bookmarkStart w:id="16" w:name="_Toc21698"/>
      <w:r>
        <w:rPr>
          <w:rStyle w:val="38"/>
          <w:rFonts w:hint="default" w:ascii="Times New Roman" w:hAnsi="Times New Roman" w:eastAsia="仿宋" w:cs="Times New Roman"/>
          <w:color w:val="auto"/>
          <w:sz w:val="32"/>
          <w:szCs w:val="32"/>
        </w:rPr>
        <w:t>第</w:t>
      </w:r>
      <w:r>
        <w:rPr>
          <w:rStyle w:val="38"/>
          <w:rFonts w:hint="eastAsia" w:ascii="Times New Roman" w:hAnsi="Times New Roman" w:eastAsia="仿宋" w:cs="Times New Roman"/>
          <w:color w:val="auto"/>
          <w:sz w:val="32"/>
          <w:szCs w:val="32"/>
          <w:lang w:val="en-US" w:eastAsia="zh-CN"/>
        </w:rPr>
        <w:t>四</w:t>
      </w:r>
      <w:r>
        <w:rPr>
          <w:rStyle w:val="38"/>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15603"/>
      <w:bookmarkStart w:id="18" w:name="_Toc27003"/>
      <w:bookmarkStart w:id="19" w:name="_Toc8041"/>
      <w:bookmarkStart w:id="20" w:name="_Toc4838"/>
      <w:bookmarkStart w:id="21"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950"/>
        <w:gridCol w:w="845"/>
        <w:gridCol w:w="838"/>
        <w:gridCol w:w="1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950" w:type="dxa"/>
            <w:vAlign w:val="center"/>
          </w:tcPr>
          <w:p>
            <w:pPr>
              <w:widowControl/>
              <w:jc w:val="center"/>
              <w:textAlignment w:val="center"/>
              <w:rPr>
                <w:rFonts w:ascii="Times New Roman" w:hAnsi="Times New Roman" w:eastAsia="仿宋" w:cs="Times New Roman"/>
                <w:kern w:val="0"/>
                <w:sz w:val="22"/>
                <w:lang w:bidi="ar"/>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数量</w:t>
            </w:r>
          </w:p>
        </w:tc>
        <w:tc>
          <w:tcPr>
            <w:tcW w:w="838"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单位</w:t>
            </w:r>
          </w:p>
        </w:tc>
        <w:tc>
          <w:tcPr>
            <w:tcW w:w="1303"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63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950" w:type="dxa"/>
            <w:vAlign w:val="center"/>
          </w:tcPr>
          <w:p>
            <w:pPr>
              <w:widowControl/>
              <w:jc w:val="center"/>
              <w:textAlignment w:val="center"/>
              <w:rPr>
                <w:rFonts w:hint="eastAsia" w:ascii="仿宋" w:hAnsi="仿宋" w:eastAsia="仿宋" w:cs="仿宋"/>
                <w:sz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仿宋" w:hAnsi="仿宋" w:eastAsia="仿宋" w:cs="仿宋"/>
                <w:sz w:val="24"/>
                <w:lang w:val="en-US" w:eastAsia="zh-CN"/>
              </w:rPr>
              <w:t>1</w:t>
            </w:r>
          </w:p>
        </w:tc>
        <w:tc>
          <w:tcPr>
            <w:tcW w:w="838"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项</w:t>
            </w:r>
          </w:p>
        </w:tc>
        <w:tc>
          <w:tcPr>
            <w:tcW w:w="1303" w:type="dxa"/>
            <w:vAlign w:val="center"/>
          </w:tcPr>
          <w:p>
            <w:pPr>
              <w:widowControl/>
              <w:jc w:val="center"/>
              <w:textAlignment w:val="center"/>
              <w:rPr>
                <w:rFonts w:hint="default" w:ascii="Times New Roman" w:hAnsi="Times New Roman" w:cs="Times New Roman"/>
                <w:sz w:val="24"/>
                <w:lang w:val="en-US"/>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950" w:type="dxa"/>
            <w:vAlign w:val="center"/>
          </w:tcPr>
          <w:p>
            <w:pPr>
              <w:widowControl/>
              <w:jc w:val="center"/>
              <w:textAlignment w:val="center"/>
              <w:rPr>
                <w:rFonts w:hint="default" w:ascii="仿宋" w:hAnsi="仿宋" w:eastAsia="仿宋" w:cs="仿宋"/>
                <w:sz w:val="24"/>
                <w:lang w:val="en-US"/>
              </w:rPr>
            </w:pPr>
          </w:p>
        </w:tc>
        <w:tc>
          <w:tcPr>
            <w:tcW w:w="845" w:type="dxa"/>
            <w:vAlign w:val="center"/>
          </w:tcPr>
          <w:p>
            <w:pPr>
              <w:widowControl/>
              <w:jc w:val="center"/>
              <w:textAlignment w:val="center"/>
              <w:rPr>
                <w:rFonts w:ascii="宋体" w:hAnsi="宋体" w:eastAsia="宋体" w:cs="宋体"/>
                <w:color w:val="000000"/>
                <w:sz w:val="22"/>
                <w:szCs w:val="22"/>
              </w:rPr>
            </w:pPr>
          </w:p>
        </w:tc>
        <w:tc>
          <w:tcPr>
            <w:tcW w:w="838" w:type="dxa"/>
            <w:vAlign w:val="center"/>
          </w:tcPr>
          <w:p>
            <w:pPr>
              <w:widowControl/>
              <w:jc w:val="center"/>
              <w:textAlignment w:val="center"/>
              <w:rPr>
                <w:rFonts w:ascii="仿宋" w:hAnsi="仿宋" w:eastAsia="仿宋" w:cs="仿宋"/>
                <w:sz w:val="24"/>
              </w:rPr>
            </w:pPr>
          </w:p>
        </w:tc>
        <w:tc>
          <w:tcPr>
            <w:tcW w:w="1303" w:type="dxa"/>
            <w:vAlign w:val="center"/>
          </w:tcPr>
          <w:p>
            <w:pPr>
              <w:widowControl/>
              <w:jc w:val="center"/>
              <w:textAlignment w:val="center"/>
              <w:rPr>
                <w:rFonts w:ascii="Times New Roman" w:hAnsi="Times New Roman" w:cs="Times New Roman"/>
                <w:sz w:val="24"/>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6301" w:type="dxa"/>
            <w:gridSpan w:val="5"/>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rPr>
              <w:t>合计（元）</w:t>
            </w:r>
          </w:p>
        </w:tc>
        <w:tc>
          <w:tcPr>
            <w:tcW w:w="1637"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1</w:t>
      </w:r>
      <w:r>
        <w:rPr>
          <w:rFonts w:hint="eastAsia" w:asciiTheme="minorHAnsi" w:hAnsiTheme="minorHAnsi" w:eastAsiaTheme="minorEastAsia" w:cstheme="minorBidi"/>
          <w:b w:val="0"/>
          <w:bCs w:val="0"/>
          <w:color w:val="000000"/>
          <w:kern w:val="2"/>
          <w:sz w:val="24"/>
          <w:szCs w:val="24"/>
          <w:lang w:val="en-US" w:eastAsia="zh-CN" w:bidi="ar-SA"/>
        </w:rPr>
        <w:t>、</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4.3、各单项报价不得高于采购清单各单项控制价，超过各单项控制价将作为无效报价。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spacing w:line="336" w:lineRule="auto"/>
        <w:jc w:val="center"/>
        <w:rPr>
          <w:rFonts w:hint="eastAsia" w:ascii="方正小标宋简体" w:hAnsi="方正小标宋简体" w:eastAsia="方正小标宋简体" w:cs="方正小标宋简体"/>
          <w:color w:val="auto"/>
          <w:sz w:val="24"/>
          <w:szCs w:val="24"/>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EE71158"/>
    <w:rsid w:val="0F852FE9"/>
    <w:rsid w:val="0FA35E5A"/>
    <w:rsid w:val="0FE93165"/>
    <w:rsid w:val="11E861DD"/>
    <w:rsid w:val="129E11D6"/>
    <w:rsid w:val="13F671BD"/>
    <w:rsid w:val="140F1289"/>
    <w:rsid w:val="143F2C26"/>
    <w:rsid w:val="153E58EA"/>
    <w:rsid w:val="165158B3"/>
    <w:rsid w:val="16592F27"/>
    <w:rsid w:val="176E0DFF"/>
    <w:rsid w:val="17877C80"/>
    <w:rsid w:val="17EB0648"/>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A52D69"/>
    <w:rsid w:val="24F92A2C"/>
    <w:rsid w:val="25180487"/>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F5E78CC"/>
    <w:rsid w:val="30DF09C4"/>
    <w:rsid w:val="315129B8"/>
    <w:rsid w:val="31792031"/>
    <w:rsid w:val="31920B76"/>
    <w:rsid w:val="330D43D7"/>
    <w:rsid w:val="33810EEB"/>
    <w:rsid w:val="35221A85"/>
    <w:rsid w:val="357F0A2E"/>
    <w:rsid w:val="35F04E8D"/>
    <w:rsid w:val="36624145"/>
    <w:rsid w:val="37653011"/>
    <w:rsid w:val="38FA2D16"/>
    <w:rsid w:val="392431AB"/>
    <w:rsid w:val="39292CF8"/>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115621"/>
    <w:rsid w:val="4F457D08"/>
    <w:rsid w:val="4F9E7724"/>
    <w:rsid w:val="4FB63413"/>
    <w:rsid w:val="504532B1"/>
    <w:rsid w:val="50BD4008"/>
    <w:rsid w:val="514364B2"/>
    <w:rsid w:val="524F3D6B"/>
    <w:rsid w:val="526813EF"/>
    <w:rsid w:val="52967DEE"/>
    <w:rsid w:val="529B69C6"/>
    <w:rsid w:val="53AC0356"/>
    <w:rsid w:val="541C75D3"/>
    <w:rsid w:val="54625F54"/>
    <w:rsid w:val="550F2287"/>
    <w:rsid w:val="551E5284"/>
    <w:rsid w:val="5699471C"/>
    <w:rsid w:val="57217F7A"/>
    <w:rsid w:val="57556FB3"/>
    <w:rsid w:val="577D3BBA"/>
    <w:rsid w:val="586A0CB6"/>
    <w:rsid w:val="59451C4B"/>
    <w:rsid w:val="59E6511E"/>
    <w:rsid w:val="5A606D0E"/>
    <w:rsid w:val="5ADC30C6"/>
    <w:rsid w:val="5BE07737"/>
    <w:rsid w:val="5BF22FC6"/>
    <w:rsid w:val="5CF525C4"/>
    <w:rsid w:val="5D5A52C7"/>
    <w:rsid w:val="5E954A0B"/>
    <w:rsid w:val="5EBB7FE7"/>
    <w:rsid w:val="5F105600"/>
    <w:rsid w:val="5F1D5272"/>
    <w:rsid w:val="5FD64512"/>
    <w:rsid w:val="5FDE5D3B"/>
    <w:rsid w:val="61357BDD"/>
    <w:rsid w:val="61D13037"/>
    <w:rsid w:val="62001A55"/>
    <w:rsid w:val="62AA63A9"/>
    <w:rsid w:val="62D66B54"/>
    <w:rsid w:val="63223BAF"/>
    <w:rsid w:val="65ED6CD8"/>
    <w:rsid w:val="66B8782F"/>
    <w:rsid w:val="69962626"/>
    <w:rsid w:val="6A7A3F8C"/>
    <w:rsid w:val="6B141A74"/>
    <w:rsid w:val="6B3A7F34"/>
    <w:rsid w:val="6C114B33"/>
    <w:rsid w:val="6CFC3CA5"/>
    <w:rsid w:val="6D815849"/>
    <w:rsid w:val="6E4F6524"/>
    <w:rsid w:val="6E6239F1"/>
    <w:rsid w:val="6ED44ED9"/>
    <w:rsid w:val="70293003"/>
    <w:rsid w:val="70294DB1"/>
    <w:rsid w:val="70F4419F"/>
    <w:rsid w:val="71F46C51"/>
    <w:rsid w:val="72332C02"/>
    <w:rsid w:val="72E15E16"/>
    <w:rsid w:val="73041B05"/>
    <w:rsid w:val="73756F0B"/>
    <w:rsid w:val="740A335E"/>
    <w:rsid w:val="74426811"/>
    <w:rsid w:val="75377F70"/>
    <w:rsid w:val="75F30556"/>
    <w:rsid w:val="76B626AB"/>
    <w:rsid w:val="77175742"/>
    <w:rsid w:val="772C556A"/>
    <w:rsid w:val="77782495"/>
    <w:rsid w:val="77D70DE3"/>
    <w:rsid w:val="77F24622"/>
    <w:rsid w:val="78794AA1"/>
    <w:rsid w:val="78A40BED"/>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0"/>
    <w:autoRedefine/>
    <w:qFormat/>
    <w:uiPriority w:val="0"/>
    <w:pPr>
      <w:jc w:val="left"/>
    </w:pPr>
  </w:style>
  <w:style w:type="paragraph" w:styleId="7">
    <w:name w:val="Body Text"/>
    <w:basedOn w:val="1"/>
    <w:next w:val="8"/>
    <w:link w:val="46"/>
    <w:autoRedefine/>
    <w:qFormat/>
    <w:uiPriority w:val="0"/>
    <w:pPr>
      <w:spacing w:after="120"/>
    </w:pPr>
  </w:style>
  <w:style w:type="paragraph" w:styleId="8">
    <w:name w:val="Quote"/>
    <w:basedOn w:val="1"/>
    <w:next w:val="1"/>
    <w:link w:val="49"/>
    <w:autoRedefine/>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autoRedefine/>
    <w:qFormat/>
    <w:uiPriority w:val="99"/>
    <w:pPr>
      <w:autoSpaceDE w:val="0"/>
      <w:autoSpaceDN w:val="0"/>
      <w:adjustRightInd w:val="0"/>
    </w:pPr>
    <w:rPr>
      <w:rFonts w:ascii="宋体" w:hAnsi="Tms Rmn"/>
      <w:kern w:val="0"/>
      <w:szCs w:val="20"/>
    </w:rPr>
  </w:style>
  <w:style w:type="paragraph" w:styleId="12">
    <w:name w:val="Balloon Text"/>
    <w:basedOn w:val="1"/>
    <w:link w:val="29"/>
    <w:autoRedefine/>
    <w:qFormat/>
    <w:uiPriority w:val="0"/>
    <w:rPr>
      <w:sz w:val="18"/>
      <w:szCs w:val="18"/>
    </w:rPr>
  </w:style>
  <w:style w:type="paragraph" w:styleId="13">
    <w:name w:val="footer"/>
    <w:basedOn w:val="1"/>
    <w:next w:val="8"/>
    <w:link w:val="32"/>
    <w:autoRedefine/>
    <w:qFormat/>
    <w:uiPriority w:val="0"/>
    <w:pPr>
      <w:tabs>
        <w:tab w:val="center" w:pos="4153"/>
        <w:tab w:val="right" w:pos="8306"/>
      </w:tabs>
      <w:snapToGrid w:val="0"/>
      <w:jc w:val="left"/>
    </w:pPr>
    <w:rPr>
      <w:sz w:val="18"/>
      <w:szCs w:val="20"/>
    </w:rPr>
  </w:style>
  <w:style w:type="paragraph" w:styleId="14">
    <w:name w:val="header"/>
    <w:basedOn w:val="1"/>
    <w:link w:val="52"/>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autoRedefine/>
    <w:qFormat/>
    <w:uiPriority w:val="0"/>
    <w:pPr>
      <w:spacing w:line="360" w:lineRule="auto"/>
      <w:ind w:firstLine="200" w:firstLineChars="200"/>
    </w:pPr>
  </w:style>
  <w:style w:type="paragraph" w:customStyle="1" w:styleId="28">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autoRedefine/>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36"/>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autoRedefine/>
    <w:qFormat/>
    <w:uiPriority w:val="0"/>
    <w:rPr>
      <w:b/>
      <w:bCs/>
      <w:kern w:val="44"/>
      <w:sz w:val="44"/>
      <w:szCs w:val="44"/>
    </w:rPr>
  </w:style>
  <w:style w:type="character" w:customStyle="1" w:styleId="39">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0">
    <w:name w:val="font41"/>
    <w:basedOn w:val="23"/>
    <w:autoRedefine/>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autoRedefine/>
    <w:qFormat/>
    <w:uiPriority w:val="99"/>
    <w:rPr>
      <w:rFonts w:ascii="宋体" w:hAnsi="Tms Rmn" w:eastAsiaTheme="minorEastAsia" w:cstheme="minorBidi"/>
      <w:sz w:val="21"/>
    </w:rPr>
  </w:style>
  <w:style w:type="character" w:customStyle="1" w:styleId="52">
    <w:name w:val="页眉 Char"/>
    <w:basedOn w:val="23"/>
    <w:link w:val="14"/>
    <w:autoRedefine/>
    <w:qFormat/>
    <w:uiPriority w:val="0"/>
    <w:rPr>
      <w:rFonts w:asciiTheme="minorHAnsi" w:hAnsiTheme="minorHAnsi" w:eastAsiaTheme="minorEastAsia" w:cstheme="minorBidi"/>
      <w:kern w:val="2"/>
      <w:sz w:val="18"/>
    </w:rPr>
  </w:style>
  <w:style w:type="character" w:customStyle="1" w:styleId="53">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1</TotalTime>
  <ScaleCrop>false</ScaleCrop>
  <LinksUpToDate>false</LinksUpToDate>
  <CharactersWithSpaces>55803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2024-03-20T03:11:51Z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620F56324EAD4F0C870FD6D5CD0FEB66_13</vt:lpwstr>
  </property>
</Properties>
</file>